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43888" w14:textId="77777777" w:rsidR="00812A87" w:rsidRPr="00BA5A15" w:rsidRDefault="00BA5A15">
      <w:pPr>
        <w:pStyle w:val="Heading1"/>
        <w:spacing w:line="445" w:lineRule="exact"/>
        <w:rPr>
          <w:b w:val="0"/>
          <w:bCs w:val="0"/>
          <w:sz w:val="20"/>
          <w:szCs w:val="20"/>
        </w:rPr>
      </w:pPr>
      <w:r>
        <w:rPr>
          <w:color w:val="231F20"/>
        </w:rPr>
        <w:t>University of California, Merced</w:t>
      </w:r>
      <w:r>
        <w:rPr>
          <w:color w:val="231F20"/>
        </w:rPr>
        <w:tab/>
      </w:r>
      <w:r>
        <w:rPr>
          <w:color w:val="231F20"/>
        </w:rPr>
        <w:tab/>
      </w:r>
      <w:r>
        <w:rPr>
          <w:color w:val="231F20"/>
        </w:rPr>
        <w:tab/>
      </w:r>
      <w:r>
        <w:rPr>
          <w:color w:val="231F20"/>
        </w:rPr>
        <w:tab/>
      </w:r>
      <w:r>
        <w:rPr>
          <w:color w:val="231F20"/>
        </w:rPr>
        <w:tab/>
      </w:r>
      <w:r>
        <w:rPr>
          <w:color w:val="231F20"/>
        </w:rPr>
        <w:tab/>
      </w:r>
      <w:r w:rsidRPr="00BA5A15">
        <w:rPr>
          <w:color w:val="231F20"/>
          <w:sz w:val="20"/>
          <w:szCs w:val="20"/>
        </w:rPr>
        <w:t>UCM-AP 800</w:t>
      </w:r>
    </w:p>
    <w:p w14:paraId="69299F3B" w14:textId="77777777" w:rsidR="00812A87" w:rsidRDefault="00BA5A15" w:rsidP="00BA5A15">
      <w:pPr>
        <w:spacing w:before="168"/>
        <w:rPr>
          <w:rFonts w:ascii="PT Sans" w:eastAsia="PT Sans" w:hAnsi="PT Sans" w:cs="PT Sans"/>
          <w:sz w:val="40"/>
          <w:szCs w:val="40"/>
        </w:rPr>
      </w:pPr>
      <w:r>
        <w:rPr>
          <w:rFonts w:ascii="PT Sans"/>
          <w:b/>
          <w:color w:val="231F20"/>
          <w:sz w:val="40"/>
        </w:rPr>
        <w:t xml:space="preserve"> GSR Child Care Reimbursement Program </w:t>
      </w:r>
    </w:p>
    <w:p w14:paraId="7CCE94DD" w14:textId="77777777" w:rsidR="00812A87" w:rsidRDefault="00BA5A15" w:rsidP="00BA5A15">
      <w:pPr>
        <w:pStyle w:val="Heading2"/>
        <w:spacing w:before="2"/>
        <w:rPr>
          <w:b w:val="0"/>
          <w:bCs w:val="0"/>
        </w:rPr>
      </w:pPr>
      <w:r>
        <w:rPr>
          <w:color w:val="231F20"/>
        </w:rPr>
        <w:t>For Graduate Student Researchers (GSR) at UC Merced</w:t>
      </w:r>
    </w:p>
    <w:p w14:paraId="1C31DAD9" w14:textId="77777777" w:rsidR="00812A87" w:rsidRDefault="00812A87">
      <w:pPr>
        <w:spacing w:before="13"/>
        <w:rPr>
          <w:rFonts w:ascii="PT Sans" w:eastAsia="PT Sans" w:hAnsi="PT Sans" w:cs="PT Sans"/>
          <w:b/>
          <w:bCs/>
        </w:rPr>
      </w:pPr>
    </w:p>
    <w:p w14:paraId="3FA57459" w14:textId="77777777" w:rsidR="00812A87" w:rsidRDefault="00BA5A15">
      <w:pPr>
        <w:ind w:left="1748"/>
        <w:rPr>
          <w:rFonts w:ascii="PT Sans" w:eastAsia="PT Sans" w:hAnsi="PT Sans" w:cs="PT Sans"/>
          <w:sz w:val="36"/>
          <w:szCs w:val="36"/>
        </w:rPr>
      </w:pPr>
      <w:r>
        <w:rPr>
          <w:rFonts w:ascii="PT Sans"/>
          <w:b/>
          <w:color w:val="939598"/>
          <w:sz w:val="36"/>
        </w:rPr>
        <w:t>Factsheet</w:t>
      </w:r>
    </w:p>
    <w:p w14:paraId="496D590B" w14:textId="77777777" w:rsidR="00812A87" w:rsidRDefault="00812A87">
      <w:pPr>
        <w:spacing w:before="2"/>
        <w:rPr>
          <w:rFonts w:ascii="PT Sans" w:eastAsia="PT Sans" w:hAnsi="PT Sans" w:cs="PT Sans"/>
          <w:b/>
          <w:bCs/>
          <w:sz w:val="23"/>
          <w:szCs w:val="23"/>
        </w:rPr>
      </w:pPr>
    </w:p>
    <w:p w14:paraId="02FDC541" w14:textId="77777777" w:rsidR="00812A87" w:rsidRDefault="00812A87">
      <w:pPr>
        <w:rPr>
          <w:rFonts w:ascii="PT Sans" w:eastAsia="PT Sans" w:hAnsi="PT Sans" w:cs="PT Sans"/>
          <w:sz w:val="23"/>
          <w:szCs w:val="23"/>
        </w:rPr>
        <w:sectPr w:rsidR="00812A87">
          <w:type w:val="continuous"/>
          <w:pgSz w:w="12240" w:h="15840"/>
          <w:pgMar w:top="1020" w:right="1180" w:bottom="280" w:left="1080" w:header="720" w:footer="720" w:gutter="0"/>
          <w:cols w:space="720"/>
        </w:sectPr>
      </w:pPr>
    </w:p>
    <w:p w14:paraId="5C850250" w14:textId="77777777" w:rsidR="00812A87" w:rsidRDefault="00BA5A15" w:rsidP="00BA5A15">
      <w:pPr>
        <w:spacing w:before="86" w:line="247" w:lineRule="auto"/>
        <w:ind w:left="120" w:right="242"/>
        <w:rPr>
          <w:rFonts w:ascii="Perpetua" w:eastAsia="Perpetua" w:hAnsi="Perpetua" w:cs="Perpetua"/>
          <w:sz w:val="24"/>
          <w:szCs w:val="24"/>
        </w:rPr>
      </w:pPr>
      <w:r>
        <w:rPr>
          <w:rFonts w:ascii="Perpetua"/>
          <w:color w:val="231F20"/>
          <w:sz w:val="24"/>
        </w:rPr>
        <w:lastRenderedPageBreak/>
        <w:t>Graduate Student Researchers at the University of California, Merced are eligible for reimbursement of some child-care expenses through a program established by the University in 2013. The program described below is effective beginning June 2014.</w:t>
      </w:r>
    </w:p>
    <w:p w14:paraId="75B69DA4" w14:textId="77777777" w:rsidR="00BA5A15" w:rsidRPr="00BA5A15" w:rsidRDefault="00BA5A15" w:rsidP="00BA5A15">
      <w:pPr>
        <w:spacing w:before="86" w:line="247" w:lineRule="auto"/>
        <w:ind w:left="120" w:right="242"/>
        <w:rPr>
          <w:rFonts w:ascii="Perpetua" w:eastAsia="Perpetua" w:hAnsi="Perpetua" w:cs="Perpetua"/>
          <w:sz w:val="24"/>
          <w:szCs w:val="24"/>
        </w:rPr>
      </w:pPr>
    </w:p>
    <w:p w14:paraId="79CA809B" w14:textId="77777777" w:rsidR="00812A87" w:rsidRDefault="00BA5A15">
      <w:pPr>
        <w:pStyle w:val="Heading2"/>
        <w:rPr>
          <w:b w:val="0"/>
          <w:bCs w:val="0"/>
        </w:rPr>
      </w:pPr>
      <w:r>
        <w:rPr>
          <w:color w:val="231F20"/>
        </w:rPr>
        <w:t>Program Overview</w:t>
      </w:r>
    </w:p>
    <w:p w14:paraId="68B4A707" w14:textId="77777777" w:rsidR="00812A87" w:rsidRDefault="00BA5A15">
      <w:pPr>
        <w:pStyle w:val="BodyText"/>
        <w:spacing w:before="72" w:line="247" w:lineRule="auto"/>
        <w:ind w:right="30"/>
      </w:pPr>
      <w:r>
        <w:rPr>
          <w:color w:val="231F20"/>
        </w:rPr>
        <w:t xml:space="preserve">Each eligible GSR may receive up to $1350 per semester for expenses incurred during the GSR's appointment period during the regular academic year. An employee must have a valid GSR appointment for a minimum of 25 percent time for the duration of the term for which reimbursement is </w:t>
      </w:r>
      <w:r>
        <w:rPr>
          <w:color w:val="231F20"/>
          <w:spacing w:val="-3"/>
        </w:rPr>
        <w:t xml:space="preserve">submitted. </w:t>
      </w:r>
    </w:p>
    <w:p w14:paraId="7578A6F5" w14:textId="77777777" w:rsidR="00812A87" w:rsidRDefault="00BA5A15">
      <w:pPr>
        <w:pStyle w:val="BodyText"/>
        <w:spacing w:before="120" w:line="247" w:lineRule="auto"/>
        <w:ind w:right="242"/>
      </w:pPr>
      <w:r>
        <w:rPr>
          <w:color w:val="231F20"/>
        </w:rPr>
        <w:t xml:space="preserve">In addition, a GSR who meets the standard eligibility criteria for a summer session appointment can be reimbursed up to $900 for eligible expenses incurred during the summer session terms. The </w:t>
      </w:r>
    </w:p>
    <w:p w14:paraId="30AA0907" w14:textId="77777777" w:rsidR="00812A87" w:rsidRDefault="00BA5A15">
      <w:pPr>
        <w:pStyle w:val="BodyText"/>
        <w:spacing w:line="247" w:lineRule="auto"/>
        <w:ind w:right="22"/>
      </w:pPr>
      <w:r>
        <w:rPr>
          <w:color w:val="231F20"/>
        </w:rPr>
        <w:t xml:space="preserve">$900 maximum applies regardless of the number of summer terms a GSR may work in a calendar year. To be eligible for reimbursement during the summer term, the GSR must also be a registered student in the regular academic terms preceding and following </w:t>
      </w:r>
      <w:r>
        <w:rPr>
          <w:color w:val="231F20"/>
          <w:spacing w:val="-1"/>
        </w:rPr>
        <w:t>the</w:t>
      </w:r>
      <w:r>
        <w:rPr>
          <w:color w:val="231F20"/>
        </w:rPr>
        <w:t xml:space="preserve"> </w:t>
      </w:r>
      <w:r>
        <w:rPr>
          <w:color w:val="231F20"/>
          <w:spacing w:val="-1"/>
        </w:rPr>
        <w:t>summer</w:t>
      </w:r>
      <w:r>
        <w:rPr>
          <w:color w:val="231F20"/>
          <w:spacing w:val="21"/>
        </w:rPr>
        <w:t xml:space="preserve"> </w:t>
      </w:r>
      <w:r>
        <w:rPr>
          <w:color w:val="231F20"/>
          <w:spacing w:val="-1"/>
        </w:rPr>
        <w:t>session</w:t>
      </w:r>
      <w:r>
        <w:rPr>
          <w:color w:val="231F20"/>
        </w:rPr>
        <w:t xml:space="preserve"> </w:t>
      </w:r>
      <w:r>
        <w:rPr>
          <w:color w:val="231F20"/>
          <w:spacing w:val="-1"/>
        </w:rPr>
        <w:t>appointment.</w:t>
      </w:r>
    </w:p>
    <w:p w14:paraId="06292D7C" w14:textId="77777777" w:rsidR="00812A87" w:rsidRDefault="00812A87">
      <w:pPr>
        <w:rPr>
          <w:rFonts w:ascii="Perpetua" w:eastAsia="Perpetua" w:hAnsi="Perpetua" w:cs="Perpetua"/>
        </w:rPr>
      </w:pPr>
    </w:p>
    <w:p w14:paraId="74C29CA6" w14:textId="77777777" w:rsidR="00812A87" w:rsidRDefault="00BA5A15">
      <w:pPr>
        <w:pStyle w:val="Heading2"/>
        <w:spacing w:before="173"/>
        <w:rPr>
          <w:b w:val="0"/>
          <w:bCs w:val="0"/>
        </w:rPr>
      </w:pPr>
      <w:r>
        <w:rPr>
          <w:color w:val="231F20"/>
        </w:rPr>
        <w:t>Eligibility</w:t>
      </w:r>
    </w:p>
    <w:p w14:paraId="69008BC1" w14:textId="77777777" w:rsidR="00812A87" w:rsidRDefault="00BA5A15">
      <w:pPr>
        <w:pStyle w:val="BodyText"/>
        <w:spacing w:before="72" w:line="247" w:lineRule="auto"/>
        <w:ind w:right="22"/>
      </w:pPr>
      <w:r>
        <w:rPr>
          <w:color w:val="231F20"/>
        </w:rPr>
        <w:t>An eligible GSR is a registered student with at least a 25 percent GSR appointment who has (a) qualified dependent(s). For the purposes of this program, qualified dependents shall include children, in the custody of the GSR, who are 12 or under on July 1</w:t>
      </w:r>
      <w:r w:rsidRPr="00BA5A15">
        <w:rPr>
          <w:color w:val="231F20"/>
          <w:vertAlign w:val="superscript"/>
        </w:rPr>
        <w:t>st</w:t>
      </w:r>
      <w:r>
        <w:rPr>
          <w:color w:val="231F20"/>
        </w:rPr>
        <w:t>.</w:t>
      </w:r>
    </w:p>
    <w:p w14:paraId="54FE6A44" w14:textId="77777777" w:rsidR="00812A87" w:rsidRDefault="00BA5A15">
      <w:pPr>
        <w:pStyle w:val="Heading2"/>
        <w:spacing w:before="185"/>
        <w:rPr>
          <w:b w:val="0"/>
          <w:bCs w:val="0"/>
        </w:rPr>
      </w:pPr>
      <w:r>
        <w:rPr>
          <w:color w:val="231F20"/>
        </w:rPr>
        <w:t>Reimbursement</w:t>
      </w:r>
      <w:r>
        <w:rPr>
          <w:color w:val="231F20"/>
          <w:spacing w:val="-1"/>
        </w:rPr>
        <w:t xml:space="preserve"> </w:t>
      </w:r>
      <w:r>
        <w:rPr>
          <w:color w:val="231F20"/>
        </w:rPr>
        <w:t>Process</w:t>
      </w:r>
    </w:p>
    <w:p w14:paraId="3F3F95E9" w14:textId="77777777" w:rsidR="00812A87" w:rsidRDefault="00BA5A15">
      <w:pPr>
        <w:pStyle w:val="BodyText"/>
        <w:spacing w:before="72" w:line="247" w:lineRule="auto"/>
        <w:ind w:right="130"/>
      </w:pPr>
      <w:r>
        <w:rPr>
          <w:color w:val="231F20"/>
        </w:rPr>
        <w:t xml:space="preserve">The child-care reimbursement is paid through payroll as taxable earnings to the GSR. At end of a </w:t>
      </w:r>
      <w:proofErr w:type="spellStart"/>
      <w:r>
        <w:rPr>
          <w:color w:val="231F20"/>
        </w:rPr>
        <w:t>a</w:t>
      </w:r>
      <w:proofErr w:type="spellEnd"/>
      <w:r>
        <w:rPr>
          <w:color w:val="231F20"/>
        </w:rPr>
        <w:t xml:space="preserve"> semester, or when the maximum reimbursement amount has been reached during the term, the GSR completes a</w:t>
      </w:r>
      <w:r>
        <w:rPr>
          <w:i/>
          <w:color w:val="231F20"/>
        </w:rPr>
        <w:t xml:space="preserve"> </w:t>
      </w:r>
      <w:r>
        <w:rPr>
          <w:i/>
          <w:color w:val="231F20"/>
          <w:spacing w:val="-2"/>
        </w:rPr>
        <w:t>Graduate Student Researcher</w:t>
      </w:r>
      <w:r>
        <w:rPr>
          <w:i/>
          <w:color w:val="231F20"/>
          <w:spacing w:val="1"/>
        </w:rPr>
        <w:t xml:space="preserve"> </w:t>
      </w:r>
      <w:r>
        <w:rPr>
          <w:i/>
          <w:color w:val="231F20"/>
        </w:rPr>
        <w:t>(GSR) Child Care Reimbursement</w:t>
      </w:r>
      <w:r>
        <w:rPr>
          <w:color w:val="231F20"/>
          <w:spacing w:val="25"/>
        </w:rPr>
        <w:t xml:space="preserve"> </w:t>
      </w:r>
      <w:r>
        <w:rPr>
          <w:color w:val="231F20"/>
        </w:rPr>
        <w:t>form (UCM-AP801), and submits it with applicable child-</w:t>
      </w:r>
    </w:p>
    <w:p w14:paraId="0566D202" w14:textId="77777777" w:rsidR="00812A87" w:rsidRDefault="00BA5A15">
      <w:pPr>
        <w:pStyle w:val="BodyText"/>
        <w:spacing w:before="77" w:line="247" w:lineRule="auto"/>
        <w:ind w:right="181"/>
      </w:pPr>
      <w:r>
        <w:br w:type="column"/>
      </w:r>
      <w:proofErr w:type="gramStart"/>
      <w:r>
        <w:rPr>
          <w:color w:val="231F20"/>
        </w:rPr>
        <w:lastRenderedPageBreak/>
        <w:t>care</w:t>
      </w:r>
      <w:proofErr w:type="gramEnd"/>
      <w:r>
        <w:rPr>
          <w:color w:val="231F20"/>
        </w:rPr>
        <w:t xml:space="preserve"> provider receipt(s) to Academic Personnel.  UCM-AP800 is available from Academic Personnel </w:t>
      </w:r>
      <w:r w:rsidR="00017361">
        <w:rPr>
          <w:color w:val="231F20"/>
        </w:rPr>
        <w:t>or staff in each school Dean’s Office.</w:t>
      </w:r>
    </w:p>
    <w:p w14:paraId="54933958" w14:textId="77777777" w:rsidR="00812A87" w:rsidRDefault="00812A87">
      <w:pPr>
        <w:rPr>
          <w:rFonts w:ascii="Perpetua" w:eastAsia="Perpetua" w:hAnsi="Perpetua" w:cs="Perpetua"/>
        </w:rPr>
      </w:pPr>
    </w:p>
    <w:p w14:paraId="2F0BBBAA" w14:textId="77777777" w:rsidR="00812A87" w:rsidRDefault="00BA5A15">
      <w:pPr>
        <w:pStyle w:val="Heading2"/>
        <w:spacing w:before="193"/>
        <w:rPr>
          <w:b w:val="0"/>
          <w:bCs w:val="0"/>
        </w:rPr>
      </w:pPr>
      <w:r>
        <w:rPr>
          <w:color w:val="231F20"/>
        </w:rPr>
        <w:t>Submitting a Reimbursement Form</w:t>
      </w:r>
    </w:p>
    <w:p w14:paraId="702B224D" w14:textId="77777777" w:rsidR="00812A87" w:rsidRDefault="00BA5A15">
      <w:pPr>
        <w:pStyle w:val="BodyText"/>
        <w:spacing w:before="72" w:line="247" w:lineRule="auto"/>
        <w:ind w:right="148"/>
        <w:rPr>
          <w:color w:val="231F20"/>
        </w:rPr>
      </w:pPr>
      <w:r>
        <w:rPr>
          <w:color w:val="231F20"/>
        </w:rPr>
        <w:t>Reimbursement requests for expenses must be submitted after the expenses are incurred. Reimbursement</w:t>
      </w:r>
      <w:r>
        <w:rPr>
          <w:color w:val="231F20"/>
          <w:spacing w:val="-1"/>
        </w:rPr>
        <w:t xml:space="preserve"> </w:t>
      </w:r>
      <w:r>
        <w:rPr>
          <w:color w:val="231F20"/>
        </w:rPr>
        <w:t>requests should</w:t>
      </w:r>
      <w:r>
        <w:rPr>
          <w:color w:val="231F20"/>
          <w:spacing w:val="-1"/>
        </w:rPr>
        <w:t xml:space="preserve"> </w:t>
      </w:r>
      <w:r>
        <w:rPr>
          <w:color w:val="231F20"/>
        </w:rPr>
        <w:t>be</w:t>
      </w:r>
      <w:r>
        <w:rPr>
          <w:color w:val="231F20"/>
          <w:spacing w:val="-1"/>
        </w:rPr>
        <w:t xml:space="preserve"> </w:t>
      </w:r>
      <w:r>
        <w:rPr>
          <w:color w:val="231F20"/>
        </w:rPr>
        <w:t>submitted</w:t>
      </w:r>
      <w:r>
        <w:rPr>
          <w:color w:val="231F20"/>
          <w:spacing w:val="-1"/>
        </w:rPr>
        <w:t xml:space="preserve"> </w:t>
      </w:r>
      <w:r>
        <w:rPr>
          <w:color w:val="231F20"/>
        </w:rPr>
        <w:t>via</w:t>
      </w:r>
      <w:r>
        <w:rPr>
          <w:color w:val="231F20"/>
          <w:spacing w:val="-1"/>
        </w:rPr>
        <w:t xml:space="preserve"> </w:t>
      </w:r>
      <w:r>
        <w:rPr>
          <w:color w:val="231F20"/>
        </w:rPr>
        <w:t>the</w:t>
      </w:r>
      <w:r>
        <w:rPr>
          <w:color w:val="231F20"/>
          <w:spacing w:val="-1"/>
        </w:rPr>
        <w:t xml:space="preserve"> </w:t>
      </w:r>
      <w:r w:rsidR="00017361">
        <w:rPr>
          <w:color w:val="231F20"/>
        </w:rPr>
        <w:t>UCM-AP801</w:t>
      </w:r>
      <w:r>
        <w:rPr>
          <w:color w:val="231F20"/>
        </w:rPr>
        <w:t xml:space="preserve"> form based on campus specified deadlines but no later than the last day of the following term.</w:t>
      </w:r>
    </w:p>
    <w:p w14:paraId="41CFD0FE" w14:textId="77777777" w:rsidR="00812A87" w:rsidRDefault="00017361" w:rsidP="00017361">
      <w:pPr>
        <w:pStyle w:val="BodyText"/>
        <w:spacing w:before="72" w:line="247" w:lineRule="auto"/>
        <w:ind w:right="148"/>
      </w:pPr>
      <w:r>
        <w:rPr>
          <w:color w:val="231F20"/>
        </w:rPr>
        <w:t>An employee who is eligible for the GSR Dependent Care program cannot submit receipts for the same expense for both GSR Child Care Reimbursement and GSR Dependent Care program, or other program.</w:t>
      </w:r>
      <w:r>
        <w:t xml:space="preserve"> </w:t>
      </w:r>
      <w:r w:rsidR="00BA5A15">
        <w:rPr>
          <w:color w:val="231F20"/>
        </w:rPr>
        <w:t>The GSR will be required to certify on the reimbursement form that the expense is not being claimed under both the GSR Child Care Reimbursement and the GSR Dependent Care programs</w:t>
      </w:r>
      <w:r>
        <w:rPr>
          <w:color w:val="231F20"/>
        </w:rPr>
        <w:t>, or other program.</w:t>
      </w:r>
    </w:p>
    <w:p w14:paraId="5C918533" w14:textId="77777777" w:rsidR="00812A87" w:rsidRDefault="00017361">
      <w:pPr>
        <w:pStyle w:val="BodyText"/>
        <w:spacing w:before="100" w:line="247" w:lineRule="auto"/>
        <w:ind w:right="181"/>
      </w:pPr>
      <w:r>
        <w:rPr>
          <w:color w:val="231F20"/>
        </w:rPr>
        <w:t>Once UCM-AP801</w:t>
      </w:r>
      <w:r w:rsidR="00BA5A15">
        <w:rPr>
          <w:color w:val="231F20"/>
        </w:rPr>
        <w:t xml:space="preserve"> is submitted, the Academic Personnel Office certifies that the form is complete, that the employee has/had an appropriate appointment as a graduate student researcher, and that the applicable documentation is attached.</w:t>
      </w:r>
    </w:p>
    <w:p w14:paraId="55AFE911" w14:textId="77777777" w:rsidR="00812A87" w:rsidRDefault="00BA5A15">
      <w:pPr>
        <w:pStyle w:val="BodyText"/>
        <w:spacing w:before="100" w:line="247" w:lineRule="auto"/>
        <w:ind w:right="148"/>
      </w:pPr>
      <w:r>
        <w:rPr>
          <w:color w:val="231F20"/>
        </w:rPr>
        <w:t xml:space="preserve">Note: Two GSR (or one GSR employee and one ASE employee) employees may not each claim the credit for the same provider care for an eligible child unless the provider care exceeded </w:t>
      </w:r>
      <w:r w:rsidR="00017361">
        <w:rPr>
          <w:color w:val="231F20"/>
        </w:rPr>
        <w:t>the term dollar limit of $1350</w:t>
      </w:r>
      <w:r>
        <w:rPr>
          <w:color w:val="231F20"/>
        </w:rPr>
        <w:t xml:space="preserve"> per semester. The second employee may claim the additional expense reimbursement. For example, if th</w:t>
      </w:r>
      <w:r w:rsidR="00017361">
        <w:rPr>
          <w:color w:val="231F20"/>
        </w:rPr>
        <w:t xml:space="preserve">e reimbursable amount for </w:t>
      </w:r>
      <w:proofErr w:type="gramStart"/>
      <w:r w:rsidR="00017361">
        <w:rPr>
          <w:color w:val="231F20"/>
        </w:rPr>
        <w:t>child</w:t>
      </w:r>
      <w:r w:rsidR="0087527E">
        <w:rPr>
          <w:color w:val="231F20"/>
        </w:rPr>
        <w:t xml:space="preserve"> </w:t>
      </w:r>
      <w:r w:rsidR="00017361">
        <w:rPr>
          <w:color w:val="231F20"/>
        </w:rPr>
        <w:t>care</w:t>
      </w:r>
      <w:proofErr w:type="gramEnd"/>
      <w:r w:rsidR="00017361">
        <w:rPr>
          <w:color w:val="231F20"/>
        </w:rPr>
        <w:t xml:space="preserve"> totals $1,55</w:t>
      </w:r>
      <w:r>
        <w:rPr>
          <w:color w:val="231F20"/>
        </w:rPr>
        <w:t xml:space="preserve">0 in the academic </w:t>
      </w:r>
      <w:r w:rsidR="00017361">
        <w:rPr>
          <w:color w:val="231F20"/>
        </w:rPr>
        <w:t>year, the first GSR may claim $135</w:t>
      </w:r>
      <w:r>
        <w:rPr>
          <w:color w:val="231F20"/>
        </w:rPr>
        <w:t xml:space="preserve">0 and the other may claim </w:t>
      </w:r>
    </w:p>
    <w:p w14:paraId="588D0E76" w14:textId="77777777" w:rsidR="00812A87" w:rsidRDefault="00BA5A15" w:rsidP="00017361">
      <w:pPr>
        <w:pStyle w:val="BodyText"/>
      </w:pPr>
      <w:r>
        <w:rPr>
          <w:color w:val="231F20"/>
        </w:rPr>
        <w:t>$200.</w:t>
      </w:r>
    </w:p>
    <w:p w14:paraId="3670A42D" w14:textId="77777777" w:rsidR="00812A87" w:rsidRDefault="00BA5A15">
      <w:pPr>
        <w:pStyle w:val="BodyText"/>
        <w:spacing w:before="100" w:line="247" w:lineRule="auto"/>
        <w:ind w:right="216"/>
      </w:pPr>
      <w:r>
        <w:rPr>
          <w:color w:val="231F20"/>
        </w:rPr>
        <w:t>The reimbursement will usually be in the same form as the GSR normally receives pay, i.e. ch</w:t>
      </w:r>
      <w:r w:rsidR="00017361">
        <w:rPr>
          <w:color w:val="231F20"/>
        </w:rPr>
        <w:t>eck or electronic deposit. If a</w:t>
      </w:r>
      <w:r>
        <w:rPr>
          <w:color w:val="231F20"/>
        </w:rPr>
        <w:t xml:space="preserve"> GSR is no longer actively employed at the time of the reimbursement, then a paper check will be issued.</w:t>
      </w:r>
    </w:p>
    <w:p w14:paraId="1A572DFD" w14:textId="77777777" w:rsidR="00812A87" w:rsidRDefault="00812A87">
      <w:pPr>
        <w:spacing w:line="247" w:lineRule="auto"/>
        <w:sectPr w:rsidR="00812A87">
          <w:type w:val="continuous"/>
          <w:pgSz w:w="12240" w:h="15840"/>
          <w:pgMar w:top="1020" w:right="1180" w:bottom="280" w:left="1080" w:header="720" w:footer="720" w:gutter="0"/>
          <w:cols w:num="2" w:space="720" w:equalWidth="0">
            <w:col w:w="4858" w:space="202"/>
            <w:col w:w="4920"/>
          </w:cols>
        </w:sectPr>
      </w:pPr>
    </w:p>
    <w:p w14:paraId="1D8BFC02" w14:textId="77777777" w:rsidR="00812A87" w:rsidRDefault="00BA5A15">
      <w:pPr>
        <w:pStyle w:val="Heading1"/>
        <w:spacing w:line="445" w:lineRule="exact"/>
        <w:ind w:left="151"/>
        <w:rPr>
          <w:b w:val="0"/>
          <w:bCs w:val="0"/>
        </w:rPr>
      </w:pPr>
      <w:r>
        <w:rPr>
          <w:color w:val="231F20"/>
        </w:rPr>
        <w:lastRenderedPageBreak/>
        <w:t>Questions and Answers</w:t>
      </w:r>
    </w:p>
    <w:p w14:paraId="1E4F9BF1" w14:textId="77777777" w:rsidR="00812A87" w:rsidRDefault="00812A87">
      <w:pPr>
        <w:spacing w:before="9"/>
        <w:rPr>
          <w:rFonts w:ascii="PT Sans" w:eastAsia="PT Sans" w:hAnsi="PT Sans" w:cs="PT Sans"/>
          <w:b/>
          <w:bCs/>
          <w:sz w:val="4"/>
          <w:szCs w:val="4"/>
        </w:rPr>
      </w:pPr>
    </w:p>
    <w:p w14:paraId="6F1E1D67" w14:textId="77777777" w:rsidR="00812A87" w:rsidRDefault="002E6EEE">
      <w:pPr>
        <w:spacing w:line="160" w:lineRule="atLeast"/>
        <w:ind w:left="100"/>
        <w:rPr>
          <w:rFonts w:ascii="PT Sans" w:eastAsia="PT Sans" w:hAnsi="PT Sans" w:cs="PT Sans"/>
          <w:sz w:val="16"/>
          <w:szCs w:val="16"/>
        </w:rPr>
      </w:pPr>
      <w:r>
        <w:rPr>
          <w:rFonts w:ascii="PT Sans" w:eastAsia="PT Sans" w:hAnsi="PT Sans" w:cs="PT Sans"/>
          <w:noProof/>
          <w:sz w:val="16"/>
          <w:szCs w:val="16"/>
        </w:rPr>
        <mc:AlternateContent>
          <mc:Choice Requires="wpg">
            <w:drawing>
              <wp:inline distT="0" distB="0" distL="0" distR="0" wp14:anchorId="4EE23A7D" wp14:editId="57EAA3CD">
                <wp:extent cx="6350000" cy="101600"/>
                <wp:effectExtent l="0" t="0" r="0" b="0"/>
                <wp:docPr id="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0" cy="101600"/>
                          <a:chOff x="0" y="0"/>
                          <a:chExt cx="10000" cy="160"/>
                        </a:xfrm>
                      </wpg:grpSpPr>
                      <wpg:grpSp>
                        <wpg:cNvPr id="5" name="Group 68"/>
                        <wpg:cNvGrpSpPr>
                          <a:grpSpLocks/>
                        </wpg:cNvGrpSpPr>
                        <wpg:grpSpPr bwMode="auto">
                          <a:xfrm>
                            <a:off x="80" y="80"/>
                            <a:ext cx="9840" cy="2"/>
                            <a:chOff x="80" y="80"/>
                            <a:chExt cx="9840" cy="2"/>
                          </a:xfrm>
                        </wpg:grpSpPr>
                        <wps:wsp>
                          <wps:cNvPr id="6" name="Freeform 69"/>
                          <wps:cNvSpPr>
                            <a:spLocks/>
                          </wps:cNvSpPr>
                          <wps:spPr bwMode="auto">
                            <a:xfrm>
                              <a:off x="80" y="80"/>
                              <a:ext cx="9840" cy="2"/>
                            </a:xfrm>
                            <a:custGeom>
                              <a:avLst/>
                              <a:gdLst>
                                <a:gd name="T0" fmla="+- 0 80 80"/>
                                <a:gd name="T1" fmla="*/ T0 w 9840"/>
                                <a:gd name="T2" fmla="+- 0 9920 80"/>
                                <a:gd name="T3" fmla="*/ T2 w 9840"/>
                              </a:gdLst>
                              <a:ahLst/>
                              <a:cxnLst>
                                <a:cxn ang="0">
                                  <a:pos x="T1" y="0"/>
                                </a:cxn>
                                <a:cxn ang="0">
                                  <a:pos x="T3" y="0"/>
                                </a:cxn>
                              </a:cxnLst>
                              <a:rect l="0" t="0" r="r" b="b"/>
                              <a:pathLst>
                                <a:path w="9840">
                                  <a:moveTo>
                                    <a:pt x="0" y="0"/>
                                  </a:moveTo>
                                  <a:lnTo>
                                    <a:pt x="9840" y="0"/>
                                  </a:lnTo>
                                </a:path>
                              </a:pathLst>
                            </a:custGeom>
                            <a:noFill/>
                            <a:ln w="1016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 o:spid="_x0000_s1026" style="width:500pt;height:8pt;mso-position-horizontal-relative:char;mso-position-vertical-relative:line" coordsize="10000,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">
                <v:group id="Group 68" o:spid="_x0000_s1027" style="position:absolute;left:80;top:80;width:9840;height:2" coordorigin="80,8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69" o:spid="_x0000_s1028" style="position:absolute;visibility:visible;mso-wrap-style:square;v-text-anchor:top" points="80,80,9920,80"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tDxxQAA&#10;ANoAAAAPAAAAZHJzL2Rvd25yZXYueG1sRI9Ba8JAFITvhf6H5Qm9NZvkECR1DdUqLXgo2qJ4e2Zf&#10;k2D2bchuY/z3XUHocZiZb5hZMZpWDNS7xrKCJIpBEJdWN1wp+P5aP09BOI+ssbVMCq7koJg/Psww&#10;1/bCWxp2vhIBwi5HBbX3XS6lK2sy6CLbEQfvx/YGfZB9JXWPlwA3rUzjOJMGGw4LNXa0rKk8736N&#10;guNmlW2Sxedpm41DMrSpeXs/7JV6moyvLyA8jf4/fG9/aAUZ3K6EGy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S0PHFAAAA2gAAAA8AAAAAAAAAAAAAAAAAlwIAAGRycy9k&#10;b3ducmV2LnhtbFBLBQYAAAAABAAEAPUAAACJAwAAAAA=&#10;" filled="f" strokecolor="#808285" strokeweight="8pt">
                    <v:path arrowok="t" o:connecttype="custom" o:connectlocs="0,0;9840,0" o:connectangles="0,0"/>
                  </v:polyline>
                </v:group>
                <w10:anchorlock/>
              </v:group>
            </w:pict>
          </mc:Fallback>
        </mc:AlternateContent>
      </w:r>
    </w:p>
    <w:p w14:paraId="715AE2BD" w14:textId="77777777" w:rsidR="00812A87" w:rsidRDefault="00812A87">
      <w:pPr>
        <w:spacing w:before="4"/>
        <w:rPr>
          <w:rFonts w:ascii="PT Sans" w:eastAsia="PT Sans" w:hAnsi="PT Sans" w:cs="PT Sans"/>
          <w:b/>
          <w:bCs/>
          <w:sz w:val="15"/>
          <w:szCs w:val="15"/>
        </w:rPr>
      </w:pPr>
    </w:p>
    <w:p w14:paraId="46B96346" w14:textId="77777777" w:rsidR="00812A87" w:rsidRDefault="00812A87">
      <w:pPr>
        <w:rPr>
          <w:rFonts w:ascii="PT Sans" w:eastAsia="PT Sans" w:hAnsi="PT Sans" w:cs="PT Sans"/>
          <w:sz w:val="15"/>
          <w:szCs w:val="15"/>
        </w:rPr>
        <w:sectPr w:rsidR="00812A87">
          <w:footerReference w:type="default" r:id="rId8"/>
          <w:pgSz w:w="12240" w:h="15840"/>
          <w:pgMar w:top="1100" w:right="1020" w:bottom="820" w:left="1020" w:header="0" w:footer="621" w:gutter="0"/>
          <w:pgNumType w:start="2"/>
          <w:cols w:space="720"/>
        </w:sectPr>
      </w:pPr>
    </w:p>
    <w:p w14:paraId="51223C96" w14:textId="77777777" w:rsidR="00812A87" w:rsidRDefault="00BA5A15">
      <w:pPr>
        <w:pStyle w:val="Heading3"/>
        <w:numPr>
          <w:ilvl w:val="0"/>
          <w:numId w:val="1"/>
        </w:numPr>
        <w:tabs>
          <w:tab w:val="left" w:pos="421"/>
        </w:tabs>
        <w:spacing w:before="39" w:line="247" w:lineRule="auto"/>
        <w:ind w:right="196" w:firstLine="0"/>
        <w:jc w:val="left"/>
        <w:rPr>
          <w:b w:val="0"/>
          <w:bCs w:val="0"/>
        </w:rPr>
      </w:pPr>
      <w:r>
        <w:rPr>
          <w:color w:val="231F20"/>
        </w:rPr>
        <w:lastRenderedPageBreak/>
        <w:t>How</w:t>
      </w:r>
      <w:r>
        <w:rPr>
          <w:color w:val="231F20"/>
          <w:spacing w:val="-13"/>
        </w:rPr>
        <w:t xml:space="preserve"> </w:t>
      </w:r>
      <w:r w:rsidR="00017361">
        <w:rPr>
          <w:color w:val="231F20"/>
        </w:rPr>
        <w:t>is a qualified dependent(s)</w:t>
      </w:r>
      <w:r>
        <w:rPr>
          <w:color w:val="231F20"/>
          <w:spacing w:val="-13"/>
        </w:rPr>
        <w:t xml:space="preserve"> </w:t>
      </w:r>
      <w:r>
        <w:rPr>
          <w:color w:val="231F20"/>
        </w:rPr>
        <w:t>defined?</w:t>
      </w:r>
      <w:r>
        <w:rPr>
          <w:color w:val="231F20"/>
          <w:spacing w:val="-12"/>
        </w:rPr>
        <w:t xml:space="preserve"> </w:t>
      </w:r>
    </w:p>
    <w:p w14:paraId="297B1D43" w14:textId="77777777" w:rsidR="00812A87" w:rsidRDefault="00BA5A15" w:rsidP="00017361">
      <w:pPr>
        <w:pStyle w:val="BodyText"/>
        <w:spacing w:before="98" w:line="247" w:lineRule="auto"/>
        <w:ind w:left="180"/>
        <w:rPr>
          <w:color w:val="231F20"/>
        </w:rPr>
      </w:pPr>
      <w:r>
        <w:rPr>
          <w:color w:val="231F20"/>
        </w:rPr>
        <w:t xml:space="preserve">A qualified dependent is defined </w:t>
      </w:r>
      <w:r w:rsidR="00017361">
        <w:rPr>
          <w:color w:val="231F20"/>
        </w:rPr>
        <w:t xml:space="preserve">as a child, in the custody of the GSR, who is age 12 or under on July 1. </w:t>
      </w:r>
      <w:r w:rsidR="0087527E">
        <w:rPr>
          <w:color w:val="231F20"/>
        </w:rPr>
        <w:t>The child must be 12 or under on July 1</w:t>
      </w:r>
      <w:r w:rsidR="0087527E" w:rsidRPr="0087527E">
        <w:rPr>
          <w:color w:val="231F20"/>
          <w:vertAlign w:val="superscript"/>
        </w:rPr>
        <w:t>st</w:t>
      </w:r>
      <w:r w:rsidR="0087527E">
        <w:rPr>
          <w:color w:val="231F20"/>
        </w:rPr>
        <w:t xml:space="preserve"> to be eligible for the following academic year ending in June.</w:t>
      </w:r>
    </w:p>
    <w:p w14:paraId="731E53DA" w14:textId="77777777" w:rsidR="0087527E" w:rsidRPr="0087527E" w:rsidRDefault="0087527E" w:rsidP="00017361">
      <w:pPr>
        <w:pStyle w:val="BodyText"/>
        <w:spacing w:before="98" w:line="247" w:lineRule="auto"/>
        <w:ind w:left="180"/>
        <w:rPr>
          <w:i/>
          <w:color w:val="231F20"/>
          <w:sz w:val="20"/>
          <w:szCs w:val="20"/>
        </w:rPr>
      </w:pPr>
      <w:r w:rsidRPr="0087527E">
        <w:rPr>
          <w:i/>
          <w:color w:val="231F20"/>
          <w:sz w:val="20"/>
          <w:szCs w:val="20"/>
        </w:rPr>
        <w:t xml:space="preserve">-Example 1: Child turns 13 on July </w:t>
      </w:r>
      <w:proofErr w:type="gramStart"/>
      <w:r w:rsidRPr="0087527E">
        <w:rPr>
          <w:i/>
          <w:color w:val="231F20"/>
          <w:sz w:val="20"/>
          <w:szCs w:val="20"/>
        </w:rPr>
        <w:t>2</w:t>
      </w:r>
      <w:r w:rsidRPr="0087527E">
        <w:rPr>
          <w:i/>
          <w:color w:val="231F20"/>
          <w:sz w:val="20"/>
          <w:szCs w:val="20"/>
          <w:vertAlign w:val="superscript"/>
        </w:rPr>
        <w:t>nd</w:t>
      </w:r>
      <w:r w:rsidRPr="0087527E">
        <w:rPr>
          <w:i/>
          <w:color w:val="231F20"/>
          <w:sz w:val="20"/>
          <w:szCs w:val="20"/>
        </w:rPr>
        <w:t>,</w:t>
      </w:r>
      <w:proofErr w:type="gramEnd"/>
      <w:r w:rsidRPr="0087527E">
        <w:rPr>
          <w:i/>
          <w:color w:val="231F20"/>
          <w:sz w:val="20"/>
          <w:szCs w:val="20"/>
        </w:rPr>
        <w:t xml:space="preserve"> Child is eligible for following academic year, since Child is 12 on July 1.</w:t>
      </w:r>
    </w:p>
    <w:p w14:paraId="6D83BB18" w14:textId="77777777" w:rsidR="0087527E" w:rsidRPr="0087527E" w:rsidRDefault="0087527E" w:rsidP="00017361">
      <w:pPr>
        <w:pStyle w:val="BodyText"/>
        <w:spacing w:before="98" w:line="247" w:lineRule="auto"/>
        <w:ind w:left="180"/>
        <w:rPr>
          <w:i/>
          <w:sz w:val="20"/>
          <w:szCs w:val="20"/>
        </w:rPr>
      </w:pPr>
      <w:r w:rsidRPr="0087527E">
        <w:rPr>
          <w:i/>
          <w:color w:val="231F20"/>
          <w:sz w:val="20"/>
          <w:szCs w:val="20"/>
        </w:rPr>
        <w:t>Example 2: Child turns 13 on June 30</w:t>
      </w:r>
      <w:r w:rsidRPr="0087527E">
        <w:rPr>
          <w:i/>
          <w:color w:val="231F20"/>
          <w:sz w:val="20"/>
          <w:szCs w:val="20"/>
          <w:vertAlign w:val="superscript"/>
        </w:rPr>
        <w:t>th</w:t>
      </w:r>
      <w:r w:rsidRPr="0087527E">
        <w:rPr>
          <w:i/>
          <w:color w:val="231F20"/>
          <w:sz w:val="20"/>
          <w:szCs w:val="20"/>
        </w:rPr>
        <w:t>.  Child is ineligible for the following academic year, since Child is not 12 or under on July 1.</w:t>
      </w:r>
    </w:p>
    <w:p w14:paraId="71AD6CF2" w14:textId="77777777" w:rsidR="00812A87" w:rsidRDefault="00BA5A15">
      <w:pPr>
        <w:pStyle w:val="Heading3"/>
        <w:numPr>
          <w:ilvl w:val="0"/>
          <w:numId w:val="1"/>
        </w:numPr>
        <w:tabs>
          <w:tab w:val="left" w:pos="431"/>
        </w:tabs>
        <w:ind w:left="430" w:hanging="250"/>
        <w:jc w:val="left"/>
        <w:rPr>
          <w:b w:val="0"/>
          <w:bCs w:val="0"/>
        </w:rPr>
      </w:pPr>
      <w:r>
        <w:rPr>
          <w:color w:val="231F20"/>
        </w:rPr>
        <w:t>How</w:t>
      </w:r>
      <w:r>
        <w:rPr>
          <w:color w:val="231F20"/>
          <w:spacing w:val="-10"/>
        </w:rPr>
        <w:t xml:space="preserve"> </w:t>
      </w:r>
      <w:r>
        <w:rPr>
          <w:color w:val="231F20"/>
        </w:rPr>
        <w:t>is</w:t>
      </w:r>
      <w:r>
        <w:rPr>
          <w:color w:val="231F20"/>
          <w:spacing w:val="-10"/>
        </w:rPr>
        <w:t xml:space="preserve"> </w:t>
      </w:r>
      <w:r>
        <w:rPr>
          <w:color w:val="231F20"/>
        </w:rPr>
        <w:t>applicable</w:t>
      </w:r>
      <w:r>
        <w:rPr>
          <w:color w:val="231F20"/>
          <w:spacing w:val="-10"/>
        </w:rPr>
        <w:t xml:space="preserve"> </w:t>
      </w:r>
      <w:proofErr w:type="gramStart"/>
      <w:r>
        <w:rPr>
          <w:color w:val="231F20"/>
        </w:rPr>
        <w:t>child</w:t>
      </w:r>
      <w:r w:rsidR="0087527E">
        <w:rPr>
          <w:color w:val="231F20"/>
        </w:rPr>
        <w:t xml:space="preserve"> </w:t>
      </w:r>
      <w:r>
        <w:rPr>
          <w:color w:val="231F20"/>
        </w:rPr>
        <w:t>care</w:t>
      </w:r>
      <w:proofErr w:type="gramEnd"/>
      <w:r>
        <w:rPr>
          <w:color w:val="231F20"/>
          <w:spacing w:val="-10"/>
        </w:rPr>
        <w:t xml:space="preserve"> </w:t>
      </w:r>
      <w:r>
        <w:rPr>
          <w:color w:val="231F20"/>
        </w:rPr>
        <w:t>provider</w:t>
      </w:r>
      <w:r>
        <w:rPr>
          <w:color w:val="231F20"/>
          <w:spacing w:val="-10"/>
        </w:rPr>
        <w:t xml:space="preserve"> </w:t>
      </w:r>
      <w:r>
        <w:rPr>
          <w:color w:val="231F20"/>
        </w:rPr>
        <w:t>defined?</w:t>
      </w:r>
    </w:p>
    <w:p w14:paraId="2539690A" w14:textId="77777777" w:rsidR="00812A87" w:rsidRPr="0087527E" w:rsidRDefault="0087527E" w:rsidP="0087527E">
      <w:pPr>
        <w:pStyle w:val="BodyText"/>
        <w:spacing w:before="107" w:line="247" w:lineRule="auto"/>
        <w:ind w:left="180" w:right="100"/>
      </w:pPr>
      <w:r>
        <w:rPr>
          <w:color w:val="231F20"/>
        </w:rPr>
        <w:t xml:space="preserve">The </w:t>
      </w:r>
      <w:proofErr w:type="gramStart"/>
      <w:r>
        <w:rPr>
          <w:color w:val="231F20"/>
        </w:rPr>
        <w:t xml:space="preserve">child </w:t>
      </w:r>
      <w:r w:rsidR="00BA5A15">
        <w:rPr>
          <w:color w:val="231F20"/>
        </w:rPr>
        <w:t>care</w:t>
      </w:r>
      <w:proofErr w:type="gramEnd"/>
      <w:r w:rsidR="00BA5A15">
        <w:rPr>
          <w:color w:val="231F20"/>
        </w:rPr>
        <w:t xml:space="preserve"> provider must have a valid tax I.D. or Social Security number. If the center cares for six or more dependents </w:t>
      </w:r>
      <w:proofErr w:type="gramStart"/>
      <w:r w:rsidR="00BA5A15">
        <w:rPr>
          <w:color w:val="231F20"/>
        </w:rPr>
        <w:t>who</w:t>
      </w:r>
      <w:proofErr w:type="gramEnd"/>
      <w:r w:rsidR="00BA5A15">
        <w:rPr>
          <w:color w:val="231F20"/>
        </w:rPr>
        <w:t xml:space="preserve"> are not residents, it must comply with all state and local licensing laws an</w:t>
      </w:r>
      <w:r>
        <w:rPr>
          <w:color w:val="231F20"/>
        </w:rPr>
        <w:t xml:space="preserve">d applicable regulations. </w:t>
      </w:r>
      <w:proofErr w:type="gramStart"/>
      <w:r>
        <w:rPr>
          <w:color w:val="231F20"/>
        </w:rPr>
        <w:t xml:space="preserve">Child </w:t>
      </w:r>
      <w:r w:rsidR="00BA5A15">
        <w:rPr>
          <w:color w:val="231F20"/>
        </w:rPr>
        <w:t>care</w:t>
      </w:r>
      <w:proofErr w:type="gramEnd"/>
      <w:r w:rsidR="00BA5A15">
        <w:rPr>
          <w:color w:val="231F20"/>
        </w:rPr>
        <w:t xml:space="preserve"> provided by the spouse, a child of the GSR under age 19, or someone else the GSR claims as a dependent for tax purposes is not reimbursable.</w:t>
      </w:r>
    </w:p>
    <w:p w14:paraId="267F787B" w14:textId="77777777" w:rsidR="00812A87" w:rsidRDefault="00BA5A15">
      <w:pPr>
        <w:pStyle w:val="Heading3"/>
        <w:numPr>
          <w:ilvl w:val="0"/>
          <w:numId w:val="1"/>
        </w:numPr>
        <w:tabs>
          <w:tab w:val="left" w:pos="426"/>
        </w:tabs>
        <w:spacing w:before="170"/>
        <w:ind w:left="425" w:hanging="245"/>
        <w:jc w:val="left"/>
        <w:rPr>
          <w:b w:val="0"/>
          <w:bCs w:val="0"/>
        </w:rPr>
      </w:pPr>
      <w:r>
        <w:rPr>
          <w:color w:val="231F20"/>
        </w:rPr>
        <w:t>How</w:t>
      </w:r>
      <w:r>
        <w:rPr>
          <w:color w:val="231F20"/>
          <w:spacing w:val="-10"/>
        </w:rPr>
        <w:t xml:space="preserve"> </w:t>
      </w:r>
      <w:r>
        <w:rPr>
          <w:color w:val="231F20"/>
        </w:rPr>
        <w:t>will</w:t>
      </w:r>
      <w:r>
        <w:rPr>
          <w:color w:val="231F20"/>
          <w:spacing w:val="-10"/>
        </w:rPr>
        <w:t xml:space="preserve"> </w:t>
      </w:r>
      <w:r>
        <w:rPr>
          <w:color w:val="231F20"/>
        </w:rPr>
        <w:t>the</w:t>
      </w:r>
      <w:r>
        <w:rPr>
          <w:color w:val="231F20"/>
          <w:spacing w:val="-10"/>
        </w:rPr>
        <w:t xml:space="preserve"> </w:t>
      </w:r>
      <w:r>
        <w:rPr>
          <w:color w:val="231F20"/>
        </w:rPr>
        <w:t>reimbursement</w:t>
      </w:r>
      <w:r>
        <w:rPr>
          <w:color w:val="231F20"/>
          <w:spacing w:val="-10"/>
        </w:rPr>
        <w:t xml:space="preserve"> </w:t>
      </w:r>
      <w:r>
        <w:rPr>
          <w:color w:val="231F20"/>
        </w:rPr>
        <w:t>be</w:t>
      </w:r>
      <w:r>
        <w:rPr>
          <w:color w:val="231F20"/>
          <w:spacing w:val="-10"/>
        </w:rPr>
        <w:t xml:space="preserve"> </w:t>
      </w:r>
      <w:r>
        <w:rPr>
          <w:color w:val="231F20"/>
        </w:rPr>
        <w:t>taxed?</w:t>
      </w:r>
    </w:p>
    <w:p w14:paraId="033DC3FB" w14:textId="77777777" w:rsidR="00812A87" w:rsidRDefault="00BA5A15">
      <w:pPr>
        <w:pStyle w:val="BodyText"/>
        <w:spacing w:before="107"/>
        <w:ind w:left="180"/>
      </w:pPr>
      <w:r>
        <w:rPr>
          <w:color w:val="231F20"/>
        </w:rPr>
        <w:t>Federal tax will be at 25 percent, state tax at</w:t>
      </w:r>
    </w:p>
    <w:p w14:paraId="7394179F" w14:textId="77777777" w:rsidR="00812A87" w:rsidRDefault="00BA5A15">
      <w:pPr>
        <w:pStyle w:val="BodyText"/>
        <w:spacing w:before="8" w:line="247" w:lineRule="auto"/>
        <w:ind w:left="180"/>
      </w:pPr>
      <w:r>
        <w:rPr>
          <w:color w:val="231F20"/>
        </w:rPr>
        <w:t>6 percent. Defined Contribution Plan contributions and Medicare tax will be deducted, if applicable.</w:t>
      </w:r>
    </w:p>
    <w:p w14:paraId="135B2BBF" w14:textId="77777777" w:rsidR="00812A87" w:rsidRDefault="00BA5A15">
      <w:pPr>
        <w:pStyle w:val="Heading3"/>
        <w:numPr>
          <w:ilvl w:val="0"/>
          <w:numId w:val="1"/>
        </w:numPr>
        <w:tabs>
          <w:tab w:val="left" w:pos="429"/>
        </w:tabs>
        <w:ind w:left="429" w:hanging="249"/>
        <w:jc w:val="left"/>
        <w:rPr>
          <w:b w:val="0"/>
          <w:bCs w:val="0"/>
        </w:rPr>
      </w:pPr>
      <w:r>
        <w:rPr>
          <w:color w:val="231F20"/>
        </w:rPr>
        <w:t>How</w:t>
      </w:r>
      <w:r>
        <w:rPr>
          <w:color w:val="231F20"/>
          <w:spacing w:val="-10"/>
        </w:rPr>
        <w:t xml:space="preserve"> </w:t>
      </w:r>
      <w:r>
        <w:rPr>
          <w:color w:val="231F20"/>
        </w:rPr>
        <w:t>will</w:t>
      </w:r>
      <w:r>
        <w:rPr>
          <w:color w:val="231F20"/>
          <w:spacing w:val="-10"/>
        </w:rPr>
        <w:t xml:space="preserve"> </w:t>
      </w:r>
      <w:r>
        <w:rPr>
          <w:color w:val="231F20"/>
        </w:rPr>
        <w:t>I</w:t>
      </w:r>
      <w:r>
        <w:rPr>
          <w:color w:val="231F20"/>
          <w:spacing w:val="-10"/>
        </w:rPr>
        <w:t xml:space="preserve"> </w:t>
      </w:r>
      <w:r>
        <w:rPr>
          <w:color w:val="231F20"/>
        </w:rPr>
        <w:t>receive</w:t>
      </w:r>
      <w:r>
        <w:rPr>
          <w:color w:val="231F20"/>
          <w:spacing w:val="-10"/>
        </w:rPr>
        <w:t xml:space="preserve"> </w:t>
      </w:r>
      <w:r>
        <w:rPr>
          <w:color w:val="231F20"/>
        </w:rPr>
        <w:t>my</w:t>
      </w:r>
      <w:r>
        <w:rPr>
          <w:color w:val="231F20"/>
          <w:spacing w:val="-10"/>
        </w:rPr>
        <w:t xml:space="preserve"> </w:t>
      </w:r>
      <w:r>
        <w:rPr>
          <w:color w:val="231F20"/>
        </w:rPr>
        <w:t>reimbursement?</w:t>
      </w:r>
    </w:p>
    <w:p w14:paraId="2BAA080B" w14:textId="77777777" w:rsidR="00812A87" w:rsidRDefault="00BA5A15">
      <w:pPr>
        <w:pStyle w:val="BodyText"/>
        <w:spacing w:before="107" w:line="247" w:lineRule="auto"/>
        <w:ind w:left="180"/>
      </w:pPr>
      <w:r>
        <w:rPr>
          <w:color w:val="231F20"/>
        </w:rPr>
        <w:t>The reimbursement will be processed through the payroll department and will be provided in the same manner in which you usually receive payment, either direct deposit or a paper check. If the reimbursement is processed more</w:t>
      </w:r>
    </w:p>
    <w:p w14:paraId="350356AD" w14:textId="77777777" w:rsidR="00812A87" w:rsidRDefault="00BA5A15">
      <w:pPr>
        <w:pStyle w:val="BodyText"/>
        <w:spacing w:line="247" w:lineRule="auto"/>
        <w:ind w:left="180"/>
      </w:pPr>
      <w:proofErr w:type="gramStart"/>
      <w:r>
        <w:rPr>
          <w:color w:val="231F20"/>
        </w:rPr>
        <w:t>than</w:t>
      </w:r>
      <w:proofErr w:type="gramEnd"/>
      <w:r>
        <w:rPr>
          <w:color w:val="231F20"/>
        </w:rPr>
        <w:t xml:space="preserve"> 30 days after an GSR no longer has an active appointment, then the</w:t>
      </w:r>
      <w:r>
        <w:rPr>
          <w:color w:val="231F20"/>
          <w:spacing w:val="48"/>
        </w:rPr>
        <w:t xml:space="preserve"> </w:t>
      </w:r>
      <w:r>
        <w:rPr>
          <w:color w:val="231F20"/>
        </w:rPr>
        <w:t>reimbursement will probably be via a paper check.</w:t>
      </w:r>
    </w:p>
    <w:p w14:paraId="5C210C07" w14:textId="77777777" w:rsidR="00812A87" w:rsidRDefault="00BA5A15">
      <w:pPr>
        <w:pStyle w:val="Heading3"/>
        <w:numPr>
          <w:ilvl w:val="0"/>
          <w:numId w:val="1"/>
        </w:numPr>
        <w:tabs>
          <w:tab w:val="left" w:pos="427"/>
        </w:tabs>
        <w:spacing w:line="247" w:lineRule="auto"/>
        <w:ind w:right="273" w:firstLine="0"/>
        <w:jc w:val="left"/>
        <w:rPr>
          <w:b w:val="0"/>
          <w:bCs w:val="0"/>
        </w:rPr>
      </w:pPr>
      <w:r>
        <w:rPr>
          <w:color w:val="231F20"/>
        </w:rPr>
        <w:t>Will</w:t>
      </w:r>
      <w:r>
        <w:rPr>
          <w:color w:val="231F20"/>
          <w:spacing w:val="-10"/>
        </w:rPr>
        <w:t xml:space="preserve"> </w:t>
      </w:r>
      <w:r>
        <w:rPr>
          <w:color w:val="231F20"/>
        </w:rPr>
        <w:t>the</w:t>
      </w:r>
      <w:r>
        <w:rPr>
          <w:color w:val="231F20"/>
          <w:spacing w:val="-10"/>
        </w:rPr>
        <w:t xml:space="preserve"> </w:t>
      </w:r>
      <w:r>
        <w:rPr>
          <w:color w:val="231F20"/>
        </w:rPr>
        <w:t>$5,000</w:t>
      </w:r>
      <w:r>
        <w:rPr>
          <w:color w:val="231F20"/>
          <w:spacing w:val="-10"/>
        </w:rPr>
        <w:t xml:space="preserve"> </w:t>
      </w:r>
      <w:r>
        <w:rPr>
          <w:color w:val="231F20"/>
        </w:rPr>
        <w:t>ASE</w:t>
      </w:r>
      <w:r>
        <w:rPr>
          <w:color w:val="231F20"/>
          <w:spacing w:val="-10"/>
        </w:rPr>
        <w:t xml:space="preserve"> </w:t>
      </w:r>
      <w:r>
        <w:rPr>
          <w:color w:val="231F20"/>
        </w:rPr>
        <w:t>Dependent</w:t>
      </w:r>
      <w:r>
        <w:rPr>
          <w:color w:val="231F20"/>
          <w:spacing w:val="-10"/>
        </w:rPr>
        <w:t xml:space="preserve"> </w:t>
      </w:r>
      <w:r>
        <w:rPr>
          <w:color w:val="231F20"/>
        </w:rPr>
        <w:t>Care</w:t>
      </w:r>
      <w:r>
        <w:rPr>
          <w:color w:val="231F20"/>
          <w:spacing w:val="-10"/>
        </w:rPr>
        <w:t xml:space="preserve"> </w:t>
      </w:r>
      <w:r>
        <w:rPr>
          <w:color w:val="231F20"/>
        </w:rPr>
        <w:t>limit</w:t>
      </w:r>
      <w:r>
        <w:rPr>
          <w:color w:val="231F20"/>
          <w:spacing w:val="-10"/>
        </w:rPr>
        <w:t xml:space="preserve"> </w:t>
      </w:r>
      <w:r>
        <w:rPr>
          <w:color w:val="231F20"/>
        </w:rPr>
        <w:t>be reduced</w:t>
      </w:r>
      <w:r>
        <w:rPr>
          <w:color w:val="231F20"/>
          <w:spacing w:val="-10"/>
        </w:rPr>
        <w:t xml:space="preserve"> </w:t>
      </w:r>
      <w:r>
        <w:rPr>
          <w:color w:val="231F20"/>
        </w:rPr>
        <w:t>by</w:t>
      </w:r>
      <w:r>
        <w:rPr>
          <w:color w:val="231F20"/>
          <w:spacing w:val="-10"/>
        </w:rPr>
        <w:t xml:space="preserve"> </w:t>
      </w:r>
      <w:r>
        <w:rPr>
          <w:color w:val="231F20"/>
        </w:rPr>
        <w:t>amounts</w:t>
      </w:r>
      <w:r>
        <w:rPr>
          <w:color w:val="231F20"/>
          <w:spacing w:val="-10"/>
        </w:rPr>
        <w:t xml:space="preserve"> </w:t>
      </w:r>
      <w:r>
        <w:rPr>
          <w:color w:val="231F20"/>
        </w:rPr>
        <w:t>reimbursed</w:t>
      </w:r>
      <w:r>
        <w:rPr>
          <w:color w:val="231F20"/>
          <w:spacing w:val="-10"/>
        </w:rPr>
        <w:t xml:space="preserve"> </w:t>
      </w:r>
      <w:r>
        <w:rPr>
          <w:color w:val="231F20"/>
        </w:rPr>
        <w:t>under</w:t>
      </w:r>
      <w:r>
        <w:rPr>
          <w:color w:val="231F20"/>
          <w:spacing w:val="-10"/>
        </w:rPr>
        <w:t xml:space="preserve"> </w:t>
      </w:r>
      <w:r>
        <w:rPr>
          <w:color w:val="231F20"/>
        </w:rPr>
        <w:t>the</w:t>
      </w:r>
      <w:r>
        <w:rPr>
          <w:color w:val="231F20"/>
          <w:spacing w:val="-10"/>
        </w:rPr>
        <w:t xml:space="preserve"> </w:t>
      </w:r>
      <w:r>
        <w:rPr>
          <w:color w:val="231F20"/>
        </w:rPr>
        <w:t>ASE</w:t>
      </w:r>
      <w:r>
        <w:rPr>
          <w:color w:val="231F20"/>
          <w:spacing w:val="-10"/>
        </w:rPr>
        <w:t xml:space="preserve"> </w:t>
      </w:r>
      <w:r>
        <w:rPr>
          <w:color w:val="231F20"/>
        </w:rPr>
        <w:t xml:space="preserve">Child </w:t>
      </w:r>
      <w:r>
        <w:rPr>
          <w:color w:val="231F20"/>
          <w:spacing w:val="-2"/>
        </w:rPr>
        <w:t>Care</w:t>
      </w:r>
      <w:r>
        <w:rPr>
          <w:color w:val="231F20"/>
          <w:spacing w:val="-9"/>
        </w:rPr>
        <w:t xml:space="preserve"> </w:t>
      </w:r>
      <w:r>
        <w:rPr>
          <w:color w:val="231F20"/>
          <w:spacing w:val="-2"/>
        </w:rPr>
        <w:t>Reimbursement</w:t>
      </w:r>
      <w:r>
        <w:rPr>
          <w:color w:val="231F20"/>
          <w:spacing w:val="-9"/>
        </w:rPr>
        <w:t xml:space="preserve"> </w:t>
      </w:r>
      <w:r>
        <w:rPr>
          <w:color w:val="231F20"/>
          <w:spacing w:val="-2"/>
        </w:rPr>
        <w:t>program?</w:t>
      </w:r>
    </w:p>
    <w:p w14:paraId="7AD758EF" w14:textId="77777777" w:rsidR="00812A87" w:rsidRDefault="00BA5A15">
      <w:pPr>
        <w:pStyle w:val="BodyText"/>
        <w:spacing w:before="98" w:line="247" w:lineRule="auto"/>
        <w:ind w:left="180" w:right="100"/>
      </w:pPr>
      <w:r>
        <w:rPr>
          <w:color w:val="231F20"/>
        </w:rPr>
        <w:t xml:space="preserve">GSR members may participate in both </w:t>
      </w:r>
      <w:proofErr w:type="gramStart"/>
      <w:r>
        <w:rPr>
          <w:color w:val="231F20"/>
        </w:rPr>
        <w:t>child care</w:t>
      </w:r>
      <w:proofErr w:type="gramEnd"/>
      <w:r>
        <w:rPr>
          <w:color w:val="231F20"/>
        </w:rPr>
        <w:t xml:space="preserve"> </w:t>
      </w:r>
      <w:r>
        <w:rPr>
          <w:color w:val="231F20"/>
          <w:spacing w:val="-2"/>
        </w:rPr>
        <w:t>reimbursement</w:t>
      </w:r>
      <w:r>
        <w:rPr>
          <w:color w:val="231F20"/>
        </w:rPr>
        <w:t xml:space="preserve"> </w:t>
      </w:r>
      <w:r>
        <w:rPr>
          <w:color w:val="231F20"/>
          <w:spacing w:val="-2"/>
        </w:rPr>
        <w:t>programs.</w:t>
      </w:r>
      <w:r>
        <w:rPr>
          <w:color w:val="231F20"/>
        </w:rPr>
        <w:t xml:space="preserve"> </w:t>
      </w:r>
      <w:r>
        <w:rPr>
          <w:color w:val="231F20"/>
          <w:spacing w:val="-2"/>
        </w:rPr>
        <w:t>Because</w:t>
      </w:r>
      <w:r>
        <w:rPr>
          <w:color w:val="231F20"/>
        </w:rPr>
        <w:t xml:space="preserve"> </w:t>
      </w:r>
      <w:r>
        <w:rPr>
          <w:color w:val="231F20"/>
          <w:spacing w:val="-2"/>
        </w:rPr>
        <w:t>the</w:t>
      </w:r>
      <w:r>
        <w:rPr>
          <w:color w:val="231F20"/>
        </w:rPr>
        <w:t xml:space="preserve"> </w:t>
      </w:r>
      <w:r w:rsidR="0087527E">
        <w:rPr>
          <w:color w:val="231F20"/>
          <w:spacing w:val="-2"/>
        </w:rPr>
        <w:t>reimburse</w:t>
      </w:r>
      <w:r>
        <w:rPr>
          <w:color w:val="231F20"/>
          <w:spacing w:val="-2"/>
        </w:rPr>
        <w:t>ments</w:t>
      </w:r>
      <w:r>
        <w:rPr>
          <w:color w:val="231F20"/>
          <w:spacing w:val="41"/>
        </w:rPr>
        <w:t xml:space="preserve"> </w:t>
      </w:r>
      <w:r>
        <w:rPr>
          <w:color w:val="231F20"/>
        </w:rPr>
        <w:t>paid to the GSR members under the GSR Child Care Program will be treated as additional wages, such reimbursements will not reduce the maximum pre-tax amount</w:t>
      </w:r>
      <w:r>
        <w:rPr>
          <w:color w:val="231F20"/>
          <w:spacing w:val="2"/>
        </w:rPr>
        <w:t xml:space="preserve"> </w:t>
      </w:r>
      <w:r>
        <w:rPr>
          <w:color w:val="231F20"/>
        </w:rPr>
        <w:t>that</w:t>
      </w:r>
      <w:r>
        <w:rPr>
          <w:color w:val="231F20"/>
          <w:spacing w:val="3"/>
        </w:rPr>
        <w:t xml:space="preserve"> </w:t>
      </w:r>
      <w:r>
        <w:rPr>
          <w:color w:val="231F20"/>
        </w:rPr>
        <w:t>can</w:t>
      </w:r>
      <w:r>
        <w:rPr>
          <w:color w:val="231F20"/>
          <w:spacing w:val="2"/>
        </w:rPr>
        <w:t xml:space="preserve"> </w:t>
      </w:r>
      <w:r>
        <w:rPr>
          <w:color w:val="231F20"/>
        </w:rPr>
        <w:t>be</w:t>
      </w:r>
      <w:r>
        <w:rPr>
          <w:color w:val="231F20"/>
          <w:spacing w:val="3"/>
        </w:rPr>
        <w:t xml:space="preserve"> </w:t>
      </w:r>
      <w:r>
        <w:rPr>
          <w:color w:val="231F20"/>
        </w:rPr>
        <w:t>deducted</w:t>
      </w:r>
      <w:r>
        <w:rPr>
          <w:color w:val="231F20"/>
          <w:spacing w:val="2"/>
        </w:rPr>
        <w:t xml:space="preserve"> </w:t>
      </w:r>
      <w:r>
        <w:rPr>
          <w:color w:val="231F20"/>
        </w:rPr>
        <w:t>from</w:t>
      </w:r>
      <w:r>
        <w:rPr>
          <w:color w:val="231F20"/>
          <w:spacing w:val="3"/>
        </w:rPr>
        <w:t xml:space="preserve"> </w:t>
      </w:r>
      <w:r>
        <w:rPr>
          <w:color w:val="231F20"/>
        </w:rPr>
        <w:t>the</w:t>
      </w:r>
      <w:r>
        <w:rPr>
          <w:color w:val="231F20"/>
          <w:spacing w:val="2"/>
        </w:rPr>
        <w:t xml:space="preserve"> </w:t>
      </w:r>
      <w:r>
        <w:rPr>
          <w:color w:val="231F20"/>
        </w:rPr>
        <w:t>employee's</w:t>
      </w:r>
      <w:r>
        <w:rPr>
          <w:color w:val="231F20"/>
          <w:w w:val="102"/>
        </w:rPr>
        <w:t xml:space="preserve"> </w:t>
      </w:r>
      <w:r>
        <w:rPr>
          <w:color w:val="231F20"/>
        </w:rPr>
        <w:t xml:space="preserve">paycheck under the GSR Dependent Care </w:t>
      </w:r>
      <w:r>
        <w:rPr>
          <w:color w:val="231F20"/>
          <w:spacing w:val="-4"/>
        </w:rPr>
        <w:t>program.</w:t>
      </w:r>
    </w:p>
    <w:p w14:paraId="327BB459" w14:textId="77777777" w:rsidR="00812A87" w:rsidRDefault="00BA5A15">
      <w:pPr>
        <w:pStyle w:val="Heading3"/>
        <w:numPr>
          <w:ilvl w:val="0"/>
          <w:numId w:val="1"/>
        </w:numPr>
        <w:tabs>
          <w:tab w:val="left" w:pos="430"/>
        </w:tabs>
        <w:spacing w:before="39"/>
        <w:ind w:left="429" w:hanging="249"/>
        <w:jc w:val="left"/>
        <w:rPr>
          <w:b w:val="0"/>
          <w:bCs w:val="0"/>
        </w:rPr>
      </w:pPr>
      <w:r>
        <w:rPr>
          <w:color w:val="231F20"/>
        </w:rPr>
        <w:br w:type="column"/>
      </w:r>
      <w:r>
        <w:rPr>
          <w:color w:val="231F20"/>
        </w:rPr>
        <w:lastRenderedPageBreak/>
        <w:t>Why</w:t>
      </w:r>
      <w:r>
        <w:rPr>
          <w:color w:val="231F20"/>
          <w:spacing w:val="-10"/>
        </w:rPr>
        <w:t xml:space="preserve"> </w:t>
      </w:r>
      <w:r>
        <w:rPr>
          <w:color w:val="231F20"/>
        </w:rPr>
        <w:t>is</w:t>
      </w:r>
      <w:r>
        <w:rPr>
          <w:color w:val="231F20"/>
          <w:spacing w:val="-10"/>
        </w:rPr>
        <w:t xml:space="preserve"> </w:t>
      </w:r>
      <w:r>
        <w:rPr>
          <w:color w:val="231F20"/>
        </w:rPr>
        <w:t>the</w:t>
      </w:r>
      <w:r>
        <w:rPr>
          <w:color w:val="231F20"/>
          <w:spacing w:val="-10"/>
        </w:rPr>
        <w:t xml:space="preserve"> </w:t>
      </w:r>
      <w:proofErr w:type="gramStart"/>
      <w:r>
        <w:rPr>
          <w:color w:val="231F20"/>
        </w:rPr>
        <w:t>child</w:t>
      </w:r>
      <w:r w:rsidR="0087527E">
        <w:rPr>
          <w:color w:val="231F20"/>
          <w:spacing w:val="-10"/>
        </w:rPr>
        <w:t xml:space="preserve"> </w:t>
      </w:r>
      <w:r>
        <w:rPr>
          <w:color w:val="231F20"/>
        </w:rPr>
        <w:t>care</w:t>
      </w:r>
      <w:proofErr w:type="gramEnd"/>
      <w:r>
        <w:rPr>
          <w:color w:val="231F20"/>
          <w:spacing w:val="-10"/>
        </w:rPr>
        <w:t xml:space="preserve"> </w:t>
      </w:r>
      <w:r>
        <w:rPr>
          <w:color w:val="231F20"/>
        </w:rPr>
        <w:t>reimbursement</w:t>
      </w:r>
      <w:r>
        <w:rPr>
          <w:color w:val="231F20"/>
          <w:spacing w:val="-10"/>
        </w:rPr>
        <w:t xml:space="preserve"> </w:t>
      </w:r>
      <w:r>
        <w:rPr>
          <w:color w:val="231F20"/>
        </w:rPr>
        <w:t>taxable?</w:t>
      </w:r>
    </w:p>
    <w:p w14:paraId="4EC286FC" w14:textId="77777777" w:rsidR="00812A87" w:rsidRDefault="002E6EEE">
      <w:pPr>
        <w:pStyle w:val="BodyText"/>
        <w:spacing w:before="107" w:line="247" w:lineRule="auto"/>
        <w:ind w:left="180" w:right="234"/>
      </w:pPr>
      <w:r>
        <w:rPr>
          <w:noProof/>
        </w:rPr>
        <mc:AlternateContent>
          <mc:Choice Requires="wpg">
            <w:drawing>
              <wp:anchor distT="0" distB="0" distL="114300" distR="114300" simplePos="0" relativeHeight="251656192" behindDoc="0" locked="0" layoutInCell="1" allowOverlap="1" wp14:anchorId="5F9AD9DF" wp14:editId="52A51727">
                <wp:simplePos x="0" y="0"/>
                <wp:positionH relativeFrom="page">
                  <wp:posOffset>3886200</wp:posOffset>
                </wp:positionH>
                <wp:positionV relativeFrom="paragraph">
                  <wp:posOffset>-156210</wp:posOffset>
                </wp:positionV>
                <wp:extent cx="1270" cy="7584440"/>
                <wp:effectExtent l="0" t="0" r="11430" b="13970"/>
                <wp:wrapNone/>
                <wp:docPr id="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584440"/>
                          <a:chOff x="6120" y="-247"/>
                          <a:chExt cx="2" cy="11944"/>
                        </a:xfrm>
                      </wpg:grpSpPr>
                      <wps:wsp>
                        <wps:cNvPr id="3" name="Freeform 66"/>
                        <wps:cNvSpPr>
                          <a:spLocks/>
                        </wps:cNvSpPr>
                        <wps:spPr bwMode="auto">
                          <a:xfrm>
                            <a:off x="6120" y="-247"/>
                            <a:ext cx="2" cy="11944"/>
                          </a:xfrm>
                          <a:custGeom>
                            <a:avLst/>
                            <a:gdLst>
                              <a:gd name="T0" fmla="+- 0 -247 -247"/>
                              <a:gd name="T1" fmla="*/ -247 h 11944"/>
                              <a:gd name="T2" fmla="+- 0 11697 -247"/>
                              <a:gd name="T3" fmla="*/ 11697 h 11944"/>
                            </a:gdLst>
                            <a:ahLst/>
                            <a:cxnLst>
                              <a:cxn ang="0">
                                <a:pos x="0" y="T1"/>
                              </a:cxn>
                              <a:cxn ang="0">
                                <a:pos x="0" y="T3"/>
                              </a:cxn>
                            </a:cxnLst>
                            <a:rect l="0" t="0" r="r" b="b"/>
                            <a:pathLst>
                              <a:path h="11944">
                                <a:moveTo>
                                  <a:pt x="0" y="0"/>
                                </a:moveTo>
                                <a:lnTo>
                                  <a:pt x="0" y="1194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06pt;margin-top:-12.25pt;width:.1pt;height:597.2pt;z-index:251656192;mso-position-horizontal-relative:page" coordorigin="6120,-247" coordsize="2,119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">
                <v:polyline id="Freeform 66" o:spid="_x0000_s1027" style="position:absolute;visibility:visible;mso-wrap-style:square;v-text-anchor:top" points="6120,-247,6120,11697" coordsize="2,119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EKwwAA&#10;ANoAAAAPAAAAZHJzL2Rvd25yZXYueG1sRI9BawIxFITvhf6H8AreatYKRbZG0cKK0CrUFvH42Dw3&#10;i5uXJYm69dcbQfA4zMw3zHja2UacyIfasYJBPwNBXDpdc6Xg77d4HYEIEVlj45gU/FOA6eT5aYy5&#10;dmf+odMmViJBOOSowMTY5lKG0pDF0HctcfL2zluMSfpKao/nBLeNfMuyd2mx5rRgsKVPQ+Vhc7QK&#10;Cj1fFd/VSn9tL+vF0demLHZzpXov3ewDRKQuPsL39lIrGMLtSroBcn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G0EKwwAAANoAAAAPAAAAAAAAAAAAAAAAAJcCAABkcnMvZG93&#10;bnJldi54bWxQSwUGAAAAAAQABAD1AAAAhwMAAAAA&#10;" filled="f" strokecolor="#231f20" strokeweight=".5pt">
                  <v:path arrowok="t" o:connecttype="custom" o:connectlocs="0,-247;0,11697" o:connectangles="0,0"/>
                </v:polyline>
                <w10:wrap anchorx="page"/>
              </v:group>
            </w:pict>
          </mc:Fallback>
        </mc:AlternateContent>
      </w:r>
      <w:r w:rsidR="00BA5A15">
        <w:rPr>
          <w:color w:val="231F20"/>
        </w:rPr>
        <w:t xml:space="preserve">GSR ASE Child Care Reimbursement Program does not meet IRC dependent care assistance program requirements as a nontaxable program; therefore, the </w:t>
      </w:r>
      <w:proofErr w:type="gramStart"/>
      <w:r w:rsidR="00BA5A15">
        <w:rPr>
          <w:color w:val="231F20"/>
        </w:rPr>
        <w:t>reimbursements under this program are treated by the IRS as additional wage income</w:t>
      </w:r>
      <w:proofErr w:type="gramEnd"/>
      <w:r w:rsidR="00BA5A15">
        <w:rPr>
          <w:color w:val="231F20"/>
        </w:rPr>
        <w:t>.</w:t>
      </w:r>
    </w:p>
    <w:p w14:paraId="17C1446C" w14:textId="77777777" w:rsidR="00812A87" w:rsidRDefault="00BA5A15">
      <w:pPr>
        <w:pStyle w:val="Heading3"/>
        <w:numPr>
          <w:ilvl w:val="0"/>
          <w:numId w:val="1"/>
        </w:numPr>
        <w:tabs>
          <w:tab w:val="left" w:pos="417"/>
        </w:tabs>
        <w:ind w:left="416" w:hanging="236"/>
        <w:jc w:val="left"/>
        <w:rPr>
          <w:b w:val="0"/>
          <w:bCs w:val="0"/>
        </w:rPr>
      </w:pPr>
      <w:r>
        <w:rPr>
          <w:color w:val="231F20"/>
        </w:rPr>
        <w:t>Can</w:t>
      </w:r>
      <w:r>
        <w:rPr>
          <w:color w:val="231F20"/>
          <w:spacing w:val="-10"/>
        </w:rPr>
        <w:t xml:space="preserve"> </w:t>
      </w:r>
      <w:r>
        <w:rPr>
          <w:color w:val="231F20"/>
        </w:rPr>
        <w:t>I</w:t>
      </w:r>
      <w:r>
        <w:rPr>
          <w:color w:val="231F20"/>
          <w:spacing w:val="-10"/>
        </w:rPr>
        <w:t xml:space="preserve"> </w:t>
      </w:r>
      <w:r>
        <w:rPr>
          <w:color w:val="231F20"/>
        </w:rPr>
        <w:t>claim</w:t>
      </w:r>
      <w:r>
        <w:rPr>
          <w:color w:val="231F20"/>
          <w:spacing w:val="-10"/>
        </w:rPr>
        <w:t xml:space="preserve"> </w:t>
      </w:r>
      <w:r>
        <w:rPr>
          <w:color w:val="231F20"/>
        </w:rPr>
        <w:t>the</w:t>
      </w:r>
      <w:r>
        <w:rPr>
          <w:color w:val="231F20"/>
          <w:spacing w:val="-10"/>
        </w:rPr>
        <w:t xml:space="preserve"> </w:t>
      </w:r>
      <w:proofErr w:type="gramStart"/>
      <w:r>
        <w:rPr>
          <w:color w:val="231F20"/>
        </w:rPr>
        <w:t>child</w:t>
      </w:r>
      <w:r>
        <w:rPr>
          <w:color w:val="231F20"/>
          <w:spacing w:val="-10"/>
        </w:rPr>
        <w:t xml:space="preserve"> </w:t>
      </w:r>
      <w:r>
        <w:rPr>
          <w:color w:val="231F20"/>
        </w:rPr>
        <w:t>care</w:t>
      </w:r>
      <w:proofErr w:type="gramEnd"/>
      <w:r>
        <w:rPr>
          <w:color w:val="231F20"/>
          <w:spacing w:val="-10"/>
        </w:rPr>
        <w:t xml:space="preserve"> </w:t>
      </w:r>
      <w:r>
        <w:rPr>
          <w:color w:val="231F20"/>
        </w:rPr>
        <w:t>credit</w:t>
      </w:r>
      <w:r>
        <w:rPr>
          <w:color w:val="231F20"/>
          <w:spacing w:val="-10"/>
        </w:rPr>
        <w:t xml:space="preserve"> </w:t>
      </w:r>
      <w:r>
        <w:rPr>
          <w:color w:val="231F20"/>
        </w:rPr>
        <w:t>on</w:t>
      </w:r>
      <w:r>
        <w:rPr>
          <w:color w:val="231F20"/>
          <w:spacing w:val="-10"/>
        </w:rPr>
        <w:t xml:space="preserve"> </w:t>
      </w:r>
      <w:r>
        <w:rPr>
          <w:color w:val="231F20"/>
        </w:rPr>
        <w:t>my</w:t>
      </w:r>
      <w:r>
        <w:rPr>
          <w:color w:val="231F20"/>
          <w:spacing w:val="-10"/>
        </w:rPr>
        <w:t xml:space="preserve"> </w:t>
      </w:r>
      <w:r>
        <w:rPr>
          <w:color w:val="231F20"/>
        </w:rPr>
        <w:t>tax</w:t>
      </w:r>
      <w:r>
        <w:rPr>
          <w:color w:val="231F20"/>
          <w:spacing w:val="-10"/>
        </w:rPr>
        <w:t xml:space="preserve"> </w:t>
      </w:r>
      <w:r>
        <w:rPr>
          <w:color w:val="231F20"/>
        </w:rPr>
        <w:t>form?</w:t>
      </w:r>
    </w:p>
    <w:p w14:paraId="6C6A92A9" w14:textId="77777777" w:rsidR="00812A87" w:rsidRDefault="00BA5A15" w:rsidP="002E6EEE">
      <w:pPr>
        <w:pStyle w:val="BodyText"/>
        <w:spacing w:line="247" w:lineRule="auto"/>
        <w:ind w:left="180" w:right="143"/>
        <w:rPr>
          <w:rFonts w:cs="Perpetua"/>
          <w:sz w:val="31"/>
          <w:szCs w:val="31"/>
        </w:rPr>
      </w:pPr>
      <w:r>
        <w:rPr>
          <w:color w:val="231F20"/>
        </w:rPr>
        <w:t>Potentially yes. Even though the reimbursements received under the GSR Child Care Reimbursement Program represent taxable wages to the employees, the amounts paid by the GSR employees for child care services may be eligible</w:t>
      </w:r>
      <w:r>
        <w:rPr>
          <w:color w:val="231F20"/>
          <w:spacing w:val="-7"/>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"dependent</w:t>
      </w:r>
      <w:r>
        <w:rPr>
          <w:color w:val="231F20"/>
          <w:spacing w:val="-6"/>
        </w:rPr>
        <w:t xml:space="preserve"> </w:t>
      </w:r>
      <w:r>
        <w:rPr>
          <w:color w:val="231F20"/>
        </w:rPr>
        <w:t>care</w:t>
      </w:r>
      <w:r>
        <w:rPr>
          <w:color w:val="231F20"/>
          <w:spacing w:val="-6"/>
        </w:rPr>
        <w:t xml:space="preserve"> </w:t>
      </w:r>
      <w:r>
        <w:rPr>
          <w:color w:val="231F20"/>
        </w:rPr>
        <w:t>services"</w:t>
      </w:r>
      <w:r>
        <w:rPr>
          <w:color w:val="231F20"/>
          <w:spacing w:val="-6"/>
        </w:rPr>
        <w:t xml:space="preserve"> </w:t>
      </w:r>
      <w:r>
        <w:rPr>
          <w:color w:val="231F20"/>
        </w:rPr>
        <w:t>tax</w:t>
      </w:r>
      <w:r>
        <w:rPr>
          <w:color w:val="231F20"/>
          <w:spacing w:val="-6"/>
        </w:rPr>
        <w:t xml:space="preserve"> </w:t>
      </w:r>
      <w:r>
        <w:rPr>
          <w:color w:val="231F20"/>
        </w:rPr>
        <w:t>credit</w:t>
      </w:r>
      <w:r>
        <w:rPr>
          <w:color w:val="231F20"/>
          <w:spacing w:val="-7"/>
        </w:rPr>
        <w:t xml:space="preserve"> </w:t>
      </w:r>
      <w:r>
        <w:rPr>
          <w:color w:val="231F20"/>
        </w:rPr>
        <w:t>set forth in Section 21 of the Internal Revenue Code.</w:t>
      </w:r>
      <w:r w:rsidR="002E6EEE">
        <w:rPr>
          <w:color w:val="231F20"/>
        </w:rPr>
        <w:t xml:space="preserve">  The amount of dependent care services tax credit that can be claimed </w:t>
      </w:r>
      <w:proofErr w:type="spellStart"/>
      <w:r w:rsidR="002E6EEE">
        <w:rPr>
          <w:color w:val="231F20"/>
        </w:rPr>
        <w:t>depnds</w:t>
      </w:r>
      <w:proofErr w:type="spellEnd"/>
      <w:r w:rsidR="002E6EEE">
        <w:rPr>
          <w:color w:val="231F20"/>
        </w:rPr>
        <w:t xml:space="preserve"> on the individual’s adjusted gross income.  The </w:t>
      </w:r>
      <w:proofErr w:type="spellStart"/>
      <w:r w:rsidR="002E6EEE">
        <w:rPr>
          <w:color w:val="231F20"/>
        </w:rPr>
        <w:t>dependen</w:t>
      </w:r>
      <w:proofErr w:type="spellEnd"/>
      <w:r w:rsidR="002E6EEE">
        <w:rPr>
          <w:color w:val="231F20"/>
        </w:rPr>
        <w:t xml:space="preserve"> </w:t>
      </w:r>
      <w:proofErr w:type="spellStart"/>
      <w:r w:rsidR="002E6EEE">
        <w:rPr>
          <w:color w:val="231F20"/>
        </w:rPr>
        <w:t>casre</w:t>
      </w:r>
      <w:proofErr w:type="spellEnd"/>
      <w:r w:rsidR="002E6EEE">
        <w:rPr>
          <w:color w:val="231F20"/>
        </w:rPr>
        <w:t xml:space="preserve"> service tax credit is subject to a number of different requirements.  More information is available in IRS Publication 503, which can be found on the IRS website at </w:t>
      </w:r>
      <w:hyperlink r:id="rId9">
        <w:r w:rsidR="002E6EEE">
          <w:rPr>
            <w:color w:val="231F20"/>
          </w:rPr>
          <w:t xml:space="preserve"> </w:t>
        </w:r>
        <w:r w:rsidR="002E6EEE">
          <w:rPr>
            <w:color w:val="231F20"/>
            <w:spacing w:val="-7"/>
          </w:rPr>
          <w:t>http://www.irs.gov/formspubs/lists/0,,id=97819,00.html</w:t>
        </w:r>
      </w:hyperlink>
    </w:p>
    <w:p w14:paraId="4F895CC6" w14:textId="77777777" w:rsidR="00812A87" w:rsidRDefault="00BA5A15">
      <w:pPr>
        <w:pStyle w:val="BodyText"/>
        <w:spacing w:line="247" w:lineRule="auto"/>
        <w:ind w:left="180" w:right="234"/>
      </w:pPr>
      <w:r>
        <w:rPr>
          <w:color w:val="231F20"/>
        </w:rPr>
        <w:t>You should consult</w:t>
      </w:r>
      <w:r w:rsidR="002E6EEE">
        <w:rPr>
          <w:color w:val="231F20"/>
        </w:rPr>
        <w:t xml:space="preserve"> with your tax advisor in deter</w:t>
      </w:r>
      <w:r>
        <w:rPr>
          <w:color w:val="231F20"/>
        </w:rPr>
        <w:t>mining whether you are eligible to claim this credit.</w:t>
      </w:r>
    </w:p>
    <w:p w14:paraId="63B8E9AD" w14:textId="77777777" w:rsidR="00812A87" w:rsidRDefault="00BA5A15">
      <w:pPr>
        <w:pStyle w:val="Heading3"/>
        <w:numPr>
          <w:ilvl w:val="0"/>
          <w:numId w:val="1"/>
        </w:numPr>
        <w:tabs>
          <w:tab w:val="left" w:pos="432"/>
        </w:tabs>
        <w:spacing w:before="161" w:line="247" w:lineRule="auto"/>
        <w:ind w:right="965" w:firstLine="0"/>
        <w:jc w:val="left"/>
        <w:rPr>
          <w:b w:val="0"/>
          <w:bCs w:val="0"/>
        </w:rPr>
      </w:pPr>
      <w:r>
        <w:rPr>
          <w:color w:val="231F20"/>
        </w:rPr>
        <w:t>How</w:t>
      </w:r>
      <w:r>
        <w:rPr>
          <w:color w:val="231F20"/>
          <w:spacing w:val="-10"/>
        </w:rPr>
        <w:t xml:space="preserve"> </w:t>
      </w:r>
      <w:r>
        <w:rPr>
          <w:color w:val="231F20"/>
        </w:rPr>
        <w:t>is</w:t>
      </w:r>
      <w:r>
        <w:rPr>
          <w:color w:val="231F20"/>
          <w:spacing w:val="-10"/>
        </w:rPr>
        <w:t xml:space="preserve"> </w:t>
      </w:r>
      <w:r>
        <w:rPr>
          <w:color w:val="231F20"/>
        </w:rPr>
        <w:t>a</w:t>
      </w:r>
      <w:r>
        <w:rPr>
          <w:color w:val="231F20"/>
          <w:spacing w:val="-10"/>
        </w:rPr>
        <w:t xml:space="preserve"> </w:t>
      </w:r>
      <w:r>
        <w:rPr>
          <w:color w:val="231F20"/>
        </w:rPr>
        <w:t>25</w:t>
      </w:r>
      <w:r>
        <w:rPr>
          <w:color w:val="231F20"/>
          <w:spacing w:val="-10"/>
        </w:rPr>
        <w:t xml:space="preserve"> </w:t>
      </w:r>
      <w:r>
        <w:rPr>
          <w:color w:val="231F20"/>
        </w:rPr>
        <w:t>percent</w:t>
      </w:r>
      <w:r>
        <w:rPr>
          <w:color w:val="231F20"/>
          <w:spacing w:val="-10"/>
        </w:rPr>
        <w:t xml:space="preserve"> </w:t>
      </w:r>
      <w:r>
        <w:rPr>
          <w:color w:val="231F20"/>
        </w:rPr>
        <w:t>appointment</w:t>
      </w:r>
      <w:r>
        <w:rPr>
          <w:color w:val="231F20"/>
          <w:spacing w:val="-10"/>
        </w:rPr>
        <w:t xml:space="preserve"> </w:t>
      </w:r>
      <w:r>
        <w:rPr>
          <w:color w:val="231F20"/>
        </w:rPr>
        <w:t>defined</w:t>
      </w:r>
      <w:r>
        <w:rPr>
          <w:color w:val="231F20"/>
          <w:spacing w:val="-10"/>
        </w:rPr>
        <w:t xml:space="preserve"> </w:t>
      </w:r>
      <w:r>
        <w:rPr>
          <w:color w:val="231F20"/>
        </w:rPr>
        <w:t>for purposes</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program?</w:t>
      </w:r>
    </w:p>
    <w:p w14:paraId="47E97235" w14:textId="77777777" w:rsidR="00812A87" w:rsidRDefault="002E6EEE">
      <w:pPr>
        <w:pStyle w:val="BodyText"/>
        <w:spacing w:before="98" w:line="247" w:lineRule="auto"/>
        <w:ind w:left="180" w:right="288"/>
      </w:pPr>
      <w:r>
        <w:rPr>
          <w:color w:val="231F20"/>
        </w:rPr>
        <w:t xml:space="preserve">A </w:t>
      </w:r>
      <w:r w:rsidR="00BA5A15">
        <w:rPr>
          <w:color w:val="231F20"/>
        </w:rPr>
        <w:t>GSR must be appointed so that over the term of the appointment the average</w:t>
      </w:r>
      <w:r>
        <w:rPr>
          <w:color w:val="231F20"/>
        </w:rPr>
        <w:t xml:space="preserve"> time is at least 25 percent. A</w:t>
      </w:r>
      <w:r w:rsidR="00BA5A15">
        <w:rPr>
          <w:color w:val="231F20"/>
        </w:rPr>
        <w:t xml:space="preserve"> GSR might be appointed for 50 percent time for one-half of the term, which would result in the average over the term being 25 percent.</w:t>
      </w:r>
    </w:p>
    <w:p w14:paraId="61CF255B" w14:textId="77777777" w:rsidR="00812A87" w:rsidRDefault="00BA5A15">
      <w:pPr>
        <w:pStyle w:val="Heading3"/>
        <w:numPr>
          <w:ilvl w:val="0"/>
          <w:numId w:val="1"/>
        </w:numPr>
        <w:tabs>
          <w:tab w:val="left" w:pos="418"/>
        </w:tabs>
        <w:spacing w:line="247" w:lineRule="auto"/>
        <w:ind w:right="1059" w:firstLine="0"/>
        <w:jc w:val="left"/>
        <w:rPr>
          <w:b w:val="0"/>
          <w:bCs w:val="0"/>
        </w:rPr>
      </w:pPr>
      <w:r>
        <w:rPr>
          <w:color w:val="231F20"/>
        </w:rPr>
        <w:t>Will</w:t>
      </w:r>
      <w:r>
        <w:rPr>
          <w:color w:val="231F20"/>
          <w:spacing w:val="-10"/>
        </w:rPr>
        <w:t xml:space="preserve"> </w:t>
      </w:r>
      <w:r>
        <w:rPr>
          <w:color w:val="231F20"/>
        </w:rPr>
        <w:t>the</w:t>
      </w:r>
      <w:r>
        <w:rPr>
          <w:color w:val="231F20"/>
          <w:spacing w:val="-10"/>
        </w:rPr>
        <w:t xml:space="preserve"> </w:t>
      </w:r>
      <w:proofErr w:type="gramStart"/>
      <w:r>
        <w:rPr>
          <w:color w:val="231F20"/>
        </w:rPr>
        <w:t>child</w:t>
      </w:r>
      <w:r>
        <w:rPr>
          <w:color w:val="231F20"/>
          <w:spacing w:val="-10"/>
        </w:rPr>
        <w:t xml:space="preserve"> </w:t>
      </w:r>
      <w:r>
        <w:rPr>
          <w:color w:val="231F20"/>
        </w:rPr>
        <w:t>care</w:t>
      </w:r>
      <w:proofErr w:type="gramEnd"/>
      <w:r>
        <w:rPr>
          <w:color w:val="231F20"/>
          <w:spacing w:val="-10"/>
        </w:rPr>
        <w:t xml:space="preserve"> </w:t>
      </w:r>
      <w:r>
        <w:rPr>
          <w:color w:val="231F20"/>
        </w:rPr>
        <w:t>reimbursement</w:t>
      </w:r>
      <w:r>
        <w:rPr>
          <w:color w:val="231F20"/>
          <w:spacing w:val="-10"/>
        </w:rPr>
        <w:t xml:space="preserve"> </w:t>
      </w:r>
      <w:r>
        <w:rPr>
          <w:color w:val="231F20"/>
        </w:rPr>
        <w:t>affect</w:t>
      </w:r>
      <w:r>
        <w:rPr>
          <w:color w:val="231F20"/>
          <w:spacing w:val="-10"/>
        </w:rPr>
        <w:t xml:space="preserve"> </w:t>
      </w:r>
      <w:r>
        <w:rPr>
          <w:color w:val="231F20"/>
        </w:rPr>
        <w:t xml:space="preserve">my </w:t>
      </w:r>
      <w:r>
        <w:rPr>
          <w:color w:val="231F20"/>
          <w:spacing w:val="-2"/>
        </w:rPr>
        <w:t>eligibility</w:t>
      </w:r>
      <w:r>
        <w:rPr>
          <w:color w:val="231F20"/>
          <w:spacing w:val="-9"/>
        </w:rPr>
        <w:t xml:space="preserve"> </w:t>
      </w:r>
      <w:r>
        <w:rPr>
          <w:color w:val="231F20"/>
          <w:spacing w:val="-2"/>
        </w:rPr>
        <w:t>for</w:t>
      </w:r>
      <w:r>
        <w:rPr>
          <w:color w:val="231F20"/>
          <w:spacing w:val="-9"/>
        </w:rPr>
        <w:t xml:space="preserve"> </w:t>
      </w:r>
      <w:r>
        <w:rPr>
          <w:color w:val="231F20"/>
          <w:spacing w:val="-2"/>
        </w:rPr>
        <w:t>financial</w:t>
      </w:r>
      <w:r>
        <w:rPr>
          <w:color w:val="231F20"/>
          <w:spacing w:val="-9"/>
        </w:rPr>
        <w:t xml:space="preserve"> </w:t>
      </w:r>
      <w:r>
        <w:rPr>
          <w:color w:val="231F20"/>
          <w:spacing w:val="-2"/>
        </w:rPr>
        <w:t>aid?</w:t>
      </w:r>
    </w:p>
    <w:p w14:paraId="62D9068C" w14:textId="77777777" w:rsidR="002E6EEE" w:rsidRDefault="00BA5A15" w:rsidP="002E6EEE">
      <w:pPr>
        <w:pStyle w:val="BodyText"/>
        <w:spacing w:before="98" w:line="247" w:lineRule="auto"/>
        <w:ind w:left="180" w:right="234"/>
        <w:sectPr w:rsidR="002E6EEE">
          <w:type w:val="continuous"/>
          <w:pgSz w:w="12240" w:h="15840"/>
          <w:pgMar w:top="1020" w:right="1020" w:bottom="280" w:left="1020" w:header="720" w:footer="720" w:gutter="0"/>
          <w:cols w:num="2" w:space="720" w:equalWidth="0">
            <w:col w:w="4900" w:space="160"/>
            <w:col w:w="5140"/>
          </w:cols>
        </w:sectPr>
      </w:pPr>
      <w:r>
        <w:rPr>
          <w:color w:val="231F20"/>
        </w:rPr>
        <w:t xml:space="preserve">It is possible that the </w:t>
      </w:r>
      <w:proofErr w:type="gramStart"/>
      <w:r>
        <w:rPr>
          <w:color w:val="231F20"/>
        </w:rPr>
        <w:t>child care</w:t>
      </w:r>
      <w:proofErr w:type="gramEnd"/>
      <w:r>
        <w:rPr>
          <w:color w:val="231F20"/>
        </w:rPr>
        <w:t xml:space="preserve"> reimbursement might impact eligibility for financial aid. It is the responsibility of the ASE to inform the appropriate agencies and offices of the child care reimbursemen</w:t>
      </w:r>
      <w:r w:rsidR="002E6EEE">
        <w:rPr>
          <w:color w:val="231F20"/>
        </w:rPr>
        <w:t>t.</w:t>
      </w:r>
      <w:bookmarkStart w:id="0" w:name="_GoBack"/>
      <w:bookmarkEnd w:id="0"/>
    </w:p>
    <w:p w14:paraId="3ADD17AE" w14:textId="77777777" w:rsidR="00812A87" w:rsidRDefault="00812A87" w:rsidP="002E6EEE">
      <w:pPr>
        <w:spacing w:before="16"/>
        <w:rPr>
          <w:rFonts w:ascii="Times New Roman" w:eastAsia="Times New Roman" w:hAnsi="Times New Roman" w:cs="Times New Roman"/>
          <w:sz w:val="16"/>
          <w:szCs w:val="16"/>
        </w:rPr>
      </w:pPr>
    </w:p>
    <w:sectPr w:rsidR="00812A87">
      <w:pgSz w:w="12240" w:h="15840"/>
      <w:pgMar w:top="1100" w:right="1040" w:bottom="820" w:left="1080" w:header="0" w:footer="6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9344" w14:textId="77777777" w:rsidR="0087527E" w:rsidRDefault="0087527E">
      <w:r>
        <w:separator/>
      </w:r>
    </w:p>
  </w:endnote>
  <w:endnote w:type="continuationSeparator" w:id="0">
    <w:p w14:paraId="4B87AAF2" w14:textId="77777777" w:rsidR="0087527E" w:rsidRDefault="0087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Narrow">
    <w:panose1 w:val="020B0506020203020204"/>
    <w:charset w:val="00"/>
    <w:family w:val="auto"/>
    <w:pitch w:val="variable"/>
    <w:sig w:usb0="A00002EF" w:usb1="5000204B" w:usb2="00000000" w:usb3="00000000" w:csb0="00000097"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Perpetua">
    <w:panose1 w:val="02020502060401020303"/>
    <w:charset w:val="00"/>
    <w:family w:val="auto"/>
    <w:pitch w:val="variable"/>
    <w:sig w:usb0="00000003" w:usb1="00000000" w:usb2="00000000" w:usb3="00000000" w:csb0="00000001" w:csb1="00000000"/>
  </w:font>
  <w:font w:name="GillSans-UltraBold">
    <w:altName w:val="Gill Sans Ultra Bold"/>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7A61" w14:textId="77777777" w:rsidR="0087527E" w:rsidRDefault="002E6E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1107EEF" wp14:editId="40E255C4">
              <wp:simplePos x="0" y="0"/>
              <wp:positionH relativeFrom="page">
                <wp:posOffset>3827145</wp:posOffset>
              </wp:positionH>
              <wp:positionV relativeFrom="page">
                <wp:posOffset>9523730</wp:posOffset>
              </wp:positionV>
              <wp:extent cx="117475" cy="152400"/>
              <wp:effectExtent l="4445" t="0" r="508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09DC" w14:textId="77777777" w:rsidR="0087527E" w:rsidRDefault="0087527E">
                          <w:pPr>
                            <w:spacing w:line="228" w:lineRule="exact"/>
                            <w:ind w:left="40"/>
                            <w:rPr>
                              <w:rFonts w:ascii="GillSans-UltraBold" w:eastAsia="GillSans-UltraBold" w:hAnsi="GillSans-UltraBold" w:cs="GillSans-UltraBold"/>
                              <w:sz w:val="20"/>
                              <w:szCs w:val="20"/>
                            </w:rPr>
                          </w:pPr>
                          <w:r>
                            <w:fldChar w:fldCharType="begin"/>
                          </w:r>
                          <w:r>
                            <w:rPr>
                              <w:rFonts w:ascii="GillSans-UltraBold"/>
                              <w:b/>
                              <w:color w:val="231F20"/>
                              <w:w w:val="70"/>
                              <w:sz w:val="20"/>
                            </w:rPr>
                            <w:instrText xml:space="preserve"> PAGE </w:instrText>
                          </w:r>
                          <w:r>
                            <w:fldChar w:fldCharType="separate"/>
                          </w:r>
                          <w:r w:rsidR="00C55FCE">
                            <w:rPr>
                              <w:rFonts w:ascii="GillSans-UltraBold"/>
                              <w:b/>
                              <w:noProof/>
                              <w:color w:val="231F20"/>
                              <w:w w:val="7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35pt;margin-top:749.9pt;width:9.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" filled="f" stroked="f">
              <v:textbox inset="0,0,0,0">
                <w:txbxContent>
                  <w:p w14:paraId="460109DC" w14:textId="77777777" w:rsidR="0087527E" w:rsidRDefault="0087527E">
                    <w:pPr>
                      <w:spacing w:line="228" w:lineRule="exact"/>
                      <w:ind w:left="40"/>
                      <w:rPr>
                        <w:rFonts w:ascii="GillSans-UltraBold" w:eastAsia="GillSans-UltraBold" w:hAnsi="GillSans-UltraBold" w:cs="GillSans-UltraBold"/>
                        <w:sz w:val="20"/>
                        <w:szCs w:val="20"/>
                      </w:rPr>
                    </w:pPr>
                    <w:r>
                      <w:fldChar w:fldCharType="begin"/>
                    </w:r>
                    <w:r>
                      <w:rPr>
                        <w:rFonts w:ascii="GillSans-UltraBold"/>
                        <w:b/>
                        <w:color w:val="231F20"/>
                        <w:w w:val="70"/>
                        <w:sz w:val="20"/>
                      </w:rPr>
                      <w:instrText xml:space="preserve"> PAGE </w:instrText>
                    </w:r>
                    <w:r>
                      <w:fldChar w:fldCharType="separate"/>
                    </w:r>
                    <w:r w:rsidR="00C55FCE">
                      <w:rPr>
                        <w:rFonts w:ascii="GillSans-UltraBold"/>
                        <w:b/>
                        <w:noProof/>
                        <w:color w:val="231F20"/>
                        <w:w w:val="7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686" w14:textId="77777777" w:rsidR="0087527E" w:rsidRDefault="0087527E">
      <w:r>
        <w:separator/>
      </w:r>
    </w:p>
  </w:footnote>
  <w:footnote w:type="continuationSeparator" w:id="0">
    <w:p w14:paraId="7F8BC58E" w14:textId="77777777" w:rsidR="0087527E" w:rsidRDefault="008752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70C"/>
    <w:multiLevelType w:val="hybridMultilevel"/>
    <w:tmpl w:val="B5DC4872"/>
    <w:lvl w:ilvl="0" w:tplc="BE72BF96">
      <w:start w:val="1"/>
      <w:numFmt w:val="decimal"/>
      <w:lvlText w:val="%1."/>
      <w:lvlJc w:val="left"/>
      <w:pPr>
        <w:ind w:left="180" w:hanging="241"/>
        <w:jc w:val="right"/>
      </w:pPr>
      <w:rPr>
        <w:rFonts w:ascii="PT Sans Narrow" w:eastAsia="PT Sans Narrow" w:hAnsi="PT Sans Narrow" w:hint="default"/>
        <w:b/>
        <w:bCs/>
        <w:color w:val="231F20"/>
        <w:sz w:val="24"/>
        <w:szCs w:val="24"/>
      </w:rPr>
    </w:lvl>
    <w:lvl w:ilvl="1" w:tplc="5F969B90">
      <w:start w:val="1"/>
      <w:numFmt w:val="bullet"/>
      <w:lvlText w:val="•"/>
      <w:lvlJc w:val="left"/>
      <w:pPr>
        <w:ind w:left="651" w:hanging="241"/>
      </w:pPr>
      <w:rPr>
        <w:rFonts w:hint="default"/>
      </w:rPr>
    </w:lvl>
    <w:lvl w:ilvl="2" w:tplc="7110E9C4">
      <w:start w:val="1"/>
      <w:numFmt w:val="bullet"/>
      <w:lvlText w:val="•"/>
      <w:lvlJc w:val="left"/>
      <w:pPr>
        <w:ind w:left="1123" w:hanging="241"/>
      </w:pPr>
      <w:rPr>
        <w:rFonts w:hint="default"/>
      </w:rPr>
    </w:lvl>
    <w:lvl w:ilvl="3" w:tplc="B4162A14">
      <w:start w:val="1"/>
      <w:numFmt w:val="bullet"/>
      <w:lvlText w:val="•"/>
      <w:lvlJc w:val="left"/>
      <w:pPr>
        <w:ind w:left="1595" w:hanging="241"/>
      </w:pPr>
      <w:rPr>
        <w:rFonts w:hint="default"/>
      </w:rPr>
    </w:lvl>
    <w:lvl w:ilvl="4" w:tplc="959883B4">
      <w:start w:val="1"/>
      <w:numFmt w:val="bullet"/>
      <w:lvlText w:val="•"/>
      <w:lvlJc w:val="left"/>
      <w:pPr>
        <w:ind w:left="2067" w:hanging="241"/>
      </w:pPr>
      <w:rPr>
        <w:rFonts w:hint="default"/>
      </w:rPr>
    </w:lvl>
    <w:lvl w:ilvl="5" w:tplc="1972741E">
      <w:start w:val="1"/>
      <w:numFmt w:val="bullet"/>
      <w:lvlText w:val="•"/>
      <w:lvlJc w:val="left"/>
      <w:pPr>
        <w:ind w:left="2539" w:hanging="241"/>
      </w:pPr>
      <w:rPr>
        <w:rFonts w:hint="default"/>
      </w:rPr>
    </w:lvl>
    <w:lvl w:ilvl="6" w:tplc="203C1FB4">
      <w:start w:val="1"/>
      <w:numFmt w:val="bullet"/>
      <w:lvlText w:val="•"/>
      <w:lvlJc w:val="left"/>
      <w:pPr>
        <w:ind w:left="3011" w:hanging="241"/>
      </w:pPr>
      <w:rPr>
        <w:rFonts w:hint="default"/>
      </w:rPr>
    </w:lvl>
    <w:lvl w:ilvl="7" w:tplc="91BC4EE0">
      <w:start w:val="1"/>
      <w:numFmt w:val="bullet"/>
      <w:lvlText w:val="•"/>
      <w:lvlJc w:val="left"/>
      <w:pPr>
        <w:ind w:left="3483" w:hanging="241"/>
      </w:pPr>
      <w:rPr>
        <w:rFonts w:hint="default"/>
      </w:rPr>
    </w:lvl>
    <w:lvl w:ilvl="8" w:tplc="5B34374C">
      <w:start w:val="1"/>
      <w:numFmt w:val="bullet"/>
      <w:lvlText w:val="•"/>
      <w:lvlJc w:val="left"/>
      <w:pPr>
        <w:ind w:left="3955" w:hanging="2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87"/>
    <w:rsid w:val="00017361"/>
    <w:rsid w:val="002E6EEE"/>
    <w:rsid w:val="00812A87"/>
    <w:rsid w:val="0087527E"/>
    <w:rsid w:val="00BA5A15"/>
    <w:rsid w:val="00C5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DF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PT Sans" w:eastAsia="PT Sans" w:hAnsi="PT Sans"/>
      <w:b/>
      <w:bCs/>
      <w:sz w:val="36"/>
      <w:szCs w:val="36"/>
    </w:rPr>
  </w:style>
  <w:style w:type="paragraph" w:styleId="Heading2">
    <w:name w:val="heading 2"/>
    <w:basedOn w:val="Normal"/>
    <w:uiPriority w:val="1"/>
    <w:qFormat/>
    <w:pPr>
      <w:ind w:left="120"/>
      <w:outlineLvl w:val="1"/>
    </w:pPr>
    <w:rPr>
      <w:rFonts w:ascii="PT Sans" w:eastAsia="PT Sans" w:hAnsi="PT Sans"/>
      <w:b/>
      <w:bCs/>
      <w:sz w:val="28"/>
      <w:szCs w:val="28"/>
    </w:rPr>
  </w:style>
  <w:style w:type="paragraph" w:styleId="Heading3">
    <w:name w:val="heading 3"/>
    <w:basedOn w:val="Normal"/>
    <w:uiPriority w:val="1"/>
    <w:qFormat/>
    <w:pPr>
      <w:spacing w:before="162"/>
      <w:ind w:left="180"/>
      <w:outlineLvl w:val="2"/>
    </w:pPr>
    <w:rPr>
      <w:rFonts w:ascii="PT Sans Narrow" w:eastAsia="PT Sans Narrow" w:hAnsi="PT Sans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erpetua" w:eastAsia="Perpetua" w:hAnsi="Perpet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PT Sans" w:eastAsia="PT Sans" w:hAnsi="PT Sans"/>
      <w:b/>
      <w:bCs/>
      <w:sz w:val="36"/>
      <w:szCs w:val="36"/>
    </w:rPr>
  </w:style>
  <w:style w:type="paragraph" w:styleId="Heading2">
    <w:name w:val="heading 2"/>
    <w:basedOn w:val="Normal"/>
    <w:uiPriority w:val="1"/>
    <w:qFormat/>
    <w:pPr>
      <w:ind w:left="120"/>
      <w:outlineLvl w:val="1"/>
    </w:pPr>
    <w:rPr>
      <w:rFonts w:ascii="PT Sans" w:eastAsia="PT Sans" w:hAnsi="PT Sans"/>
      <w:b/>
      <w:bCs/>
      <w:sz w:val="28"/>
      <w:szCs w:val="28"/>
    </w:rPr>
  </w:style>
  <w:style w:type="paragraph" w:styleId="Heading3">
    <w:name w:val="heading 3"/>
    <w:basedOn w:val="Normal"/>
    <w:uiPriority w:val="1"/>
    <w:qFormat/>
    <w:pPr>
      <w:spacing w:before="162"/>
      <w:ind w:left="180"/>
      <w:outlineLvl w:val="2"/>
    </w:pPr>
    <w:rPr>
      <w:rFonts w:ascii="PT Sans Narrow" w:eastAsia="PT Sans Narrow" w:hAnsi="PT Sans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Perpetua" w:eastAsia="Perpetua" w:hAnsi="Perpet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irs.gov/formspubs/lists/0%2C%2Cid%3D97819%2C00.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1090</Words>
  <Characters>6215</Characters>
  <Application>Microsoft Macintosh Word</Application>
  <DocSecurity>0</DocSecurity>
  <Lines>51</Lines>
  <Paragraphs>14</Paragraphs>
  <ScaleCrop>false</ScaleCrop>
  <Company>University of California, Merced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Gubser</cp:lastModifiedBy>
  <cp:revision>3</cp:revision>
  <dcterms:created xsi:type="dcterms:W3CDTF">2014-09-14T19:00:00Z</dcterms:created>
  <dcterms:modified xsi:type="dcterms:W3CDTF">2014-09-14T19:00:00Z</dcterms:modified>
</cp:coreProperties>
</file>